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line="240" w:lineRule="auto"/>
        <w:ind w:left="0" w:right="420" w:firstLine="0" w:firstLineChars="0"/>
        <w:jc w:val="center"/>
        <w:rPr>
          <w:rFonts w:hint="eastAsia" w:eastAsia="黑体"/>
          <w:b/>
          <w:bCs/>
          <w:sz w:val="36"/>
          <w:lang w:eastAsia="zh-CN"/>
        </w:rPr>
      </w:pPr>
      <w:r>
        <w:rPr>
          <w:rFonts w:hint="eastAsia"/>
          <w:b/>
          <w:bCs/>
          <w:sz w:val="36"/>
          <w:lang w:eastAsia="zh-CN"/>
        </w:rPr>
        <w:t>互联网</w:t>
      </w:r>
      <w:r>
        <w:rPr>
          <w:rFonts w:hint="eastAsia"/>
          <w:b/>
          <w:bCs/>
          <w:sz w:val="36"/>
          <w:lang w:val="en-US" w:eastAsia="zh-CN"/>
        </w:rPr>
        <w:t>+海关</w:t>
      </w:r>
    </w:p>
    <w:p>
      <w:pPr>
        <w:pStyle w:val="12"/>
        <w:spacing w:line="240" w:lineRule="auto"/>
        <w:ind w:left="0" w:right="420" w:firstLine="0" w:firstLineChars="0"/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海关事务联系系统</w:t>
      </w:r>
    </w:p>
    <w:p>
      <w:pPr>
        <w:pStyle w:val="12"/>
        <w:spacing w:line="240" w:lineRule="auto"/>
        <w:ind w:left="0" w:right="420" w:firstLine="0" w:firstLineChars="0"/>
        <w:jc w:val="center"/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36"/>
        </w:rPr>
        <w:t>“其他海关事务联系”子功能模块</w:t>
      </w:r>
    </w:p>
    <w:p>
      <w:pPr>
        <w:pStyle w:val="12"/>
        <w:spacing w:line="240" w:lineRule="auto"/>
        <w:ind w:left="0" w:right="420" w:firstLine="0" w:firstLineChars="0"/>
        <w:jc w:val="center"/>
        <w:rPr>
          <w:rFonts w:eastAsia="华文中宋"/>
          <w:b/>
          <w:bCs/>
          <w:sz w:val="36"/>
        </w:rPr>
      </w:pPr>
      <w:r>
        <w:rPr>
          <w:rFonts w:hint="eastAsia"/>
          <w:b/>
          <w:bCs/>
          <w:sz w:val="36"/>
        </w:rPr>
        <w:t>企业端操作手册</w:t>
      </w:r>
    </w:p>
    <w:p>
      <w:pPr>
        <w:ind w:right="200"/>
      </w:pPr>
    </w:p>
    <w:p>
      <w:pPr>
        <w:ind w:right="200"/>
      </w:pPr>
    </w:p>
    <w:p>
      <w:pPr>
        <w:ind w:right="200"/>
      </w:pPr>
    </w:p>
    <w:p>
      <w:pPr>
        <w:ind w:right="200"/>
      </w:pPr>
    </w:p>
    <w:p>
      <w:pPr>
        <w:ind w:right="200"/>
      </w:pPr>
    </w:p>
    <w:p>
      <w:pPr>
        <w:ind w:right="200"/>
        <w:jc w:val="center"/>
        <w:rPr>
          <w:rFonts w:hint="eastAsia" w:eastAsia="宋体"/>
          <w:sz w:val="44"/>
          <w:lang w:eastAsia="zh-CN"/>
        </w:rPr>
      </w:pPr>
      <w:r>
        <w:rPr>
          <w:rFonts w:hint="eastAsia" w:eastAsia="宋体"/>
          <w:sz w:val="44"/>
          <w:lang w:eastAsia="zh-CN"/>
        </w:rPr>
        <w:drawing>
          <wp:inline distT="0" distB="0" distL="114300" distR="114300">
            <wp:extent cx="3639185" cy="1202690"/>
            <wp:effectExtent l="0" t="0" r="18415" b="16510"/>
            <wp:docPr id="41" name="图片 4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00"/>
        <w:jc w:val="center"/>
        <w:rPr>
          <w:sz w:val="44"/>
        </w:rPr>
      </w:pPr>
    </w:p>
    <w:p>
      <w:pPr>
        <w:ind w:right="200"/>
        <w:jc w:val="center"/>
        <w:rPr>
          <w:sz w:val="44"/>
        </w:rPr>
      </w:pPr>
    </w:p>
    <w:p>
      <w:pPr>
        <w:ind w:right="200"/>
        <w:jc w:val="center"/>
        <w:rPr>
          <w:sz w:val="44"/>
        </w:rPr>
      </w:pPr>
    </w:p>
    <w:p>
      <w:pPr>
        <w:ind w:right="200"/>
        <w:jc w:val="center"/>
        <w:rPr>
          <w:sz w:val="44"/>
        </w:rPr>
      </w:pPr>
    </w:p>
    <w:p>
      <w:pPr>
        <w:ind w:right="200"/>
        <w:jc w:val="center"/>
        <w:rPr>
          <w:sz w:val="44"/>
        </w:rPr>
      </w:pPr>
    </w:p>
    <w:p>
      <w:pPr>
        <w:ind w:right="200"/>
        <w:jc w:val="center"/>
        <w:rPr>
          <w:rFonts w:hint="eastAsia"/>
          <w:b/>
          <w:bCs/>
          <w:sz w:val="52"/>
          <w:lang w:eastAsia="zh-CN"/>
        </w:rPr>
      </w:pPr>
      <w:r>
        <w:rPr>
          <w:rFonts w:hint="eastAsia"/>
          <w:b/>
          <w:bCs/>
          <w:sz w:val="52"/>
          <w:lang w:eastAsia="zh-CN"/>
        </w:rPr>
        <w:t>郑州海关</w:t>
      </w:r>
    </w:p>
    <w:p>
      <w:pPr>
        <w:ind w:right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201</w:t>
      </w:r>
      <w:r>
        <w:rPr>
          <w:rFonts w:hint="eastAsia"/>
          <w:b/>
          <w:bCs/>
          <w:sz w:val="24"/>
          <w:lang w:val="en-US" w:eastAsia="zh-CN"/>
        </w:rPr>
        <w:t>7</w:t>
      </w:r>
      <w:r>
        <w:rPr>
          <w:rFonts w:hint="eastAsia"/>
          <w:b/>
          <w:bCs/>
          <w:sz w:val="24"/>
        </w:rPr>
        <w:t>年</w:t>
      </w:r>
      <w:r>
        <w:rPr>
          <w:rFonts w:hint="eastAsia"/>
          <w:b/>
          <w:bCs/>
          <w:sz w:val="24"/>
          <w:lang w:val="en-US" w:eastAsia="zh-CN"/>
        </w:rPr>
        <w:t>9</w:t>
      </w:r>
      <w:r>
        <w:rPr>
          <w:rFonts w:hint="eastAsia"/>
          <w:b/>
          <w:bCs/>
          <w:sz w:val="24"/>
        </w:rPr>
        <w:t>月</w:t>
      </w:r>
    </w:p>
    <w:p>
      <w:pPr>
        <w:ind w:left="1785" w:leftChars="850" w:right="200" w:firstLine="2100" w:firstLineChars="1000"/>
      </w:pPr>
    </w:p>
    <w:p>
      <w:pPr>
        <w:ind w:left="1785" w:leftChars="850" w:right="200" w:firstLine="2100" w:firstLineChars="1000"/>
      </w:pPr>
    </w:p>
    <w:p>
      <w:pPr>
        <w:pStyle w:val="16"/>
        <w:tabs>
          <w:tab w:val="right" w:leader="dot" w:pos="9062"/>
        </w:tabs>
        <w:spacing w:before="326" w:after="326" w:line="240" w:lineRule="auto"/>
        <w:ind w:left="210" w:leftChars="100" w:right="200"/>
        <w:jc w:val="center"/>
        <w:rPr>
          <w:rFonts w:hint="eastAsia"/>
          <w:sz w:val="72"/>
        </w:rPr>
      </w:pPr>
    </w:p>
    <w:p>
      <w:pPr>
        <w:pStyle w:val="16"/>
        <w:tabs>
          <w:tab w:val="right" w:leader="dot" w:pos="9062"/>
        </w:tabs>
        <w:spacing w:before="326" w:after="326" w:line="240" w:lineRule="auto"/>
        <w:ind w:left="210" w:leftChars="100" w:right="200"/>
        <w:jc w:val="center"/>
        <w:rPr>
          <w:rFonts w:hint="eastAsia"/>
          <w:sz w:val="72"/>
        </w:rPr>
      </w:pPr>
    </w:p>
    <w:p>
      <w:pPr>
        <w:pStyle w:val="16"/>
        <w:tabs>
          <w:tab w:val="right" w:leader="dot" w:pos="9062"/>
        </w:tabs>
        <w:spacing w:before="326" w:after="326" w:line="240" w:lineRule="auto"/>
        <w:ind w:left="210" w:leftChars="100" w:right="200"/>
        <w:jc w:val="center"/>
        <w:rPr>
          <w:sz w:val="72"/>
        </w:rPr>
      </w:pPr>
      <w:r>
        <w:rPr>
          <w:rFonts w:hint="eastAsia"/>
          <w:sz w:val="72"/>
        </w:rPr>
        <w:t>目录</w:t>
      </w:r>
    </w:p>
    <w:p>
      <w:pPr>
        <w:pStyle w:val="16"/>
        <w:spacing w:before="326" w:after="326" w:line="240" w:lineRule="auto"/>
        <w:ind w:right="198" w:firstLine="420"/>
      </w:pPr>
    </w:p>
    <w:p>
      <w:pPr>
        <w:pStyle w:val="16"/>
        <w:tabs>
          <w:tab w:val="right" w:leader="dot" w:pos="8380"/>
        </w:tabs>
        <w:spacing w:before="326" w:after="326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"_Toc453075071" </w:instrText>
      </w:r>
      <w:r>
        <w:fldChar w:fldCharType="separate"/>
      </w:r>
      <w:r>
        <w:rPr>
          <w:rStyle w:val="19"/>
          <w:rFonts w:hint="eastAsia"/>
        </w:rPr>
        <w:t>第一篇 系统介绍</w:t>
      </w:r>
      <w:r>
        <w:tab/>
      </w:r>
      <w:r>
        <w:fldChar w:fldCharType="begin"/>
      </w:r>
      <w:r>
        <w:instrText xml:space="preserve"> PAGEREF _Toc453075071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80"/>
        </w:tabs>
        <w:spacing w:before="326" w:after="326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HYPERLINK \l "_Toc453075072" </w:instrText>
      </w:r>
      <w:r>
        <w:fldChar w:fldCharType="separate"/>
      </w:r>
      <w:r>
        <w:rPr>
          <w:rStyle w:val="19"/>
          <w:rFonts w:hint="eastAsia"/>
        </w:rPr>
        <w:t>第二篇 具体操作流程</w:t>
      </w:r>
      <w:r>
        <w:tab/>
      </w:r>
      <w:r>
        <w:fldChar w:fldCharType="begin"/>
      </w:r>
      <w:r>
        <w:instrText xml:space="preserve"> PAGEREF _Toc453075072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7"/>
        <w:ind w:left="420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HYPERLINK \l "_Toc453075073" </w:instrText>
      </w:r>
      <w:r>
        <w:fldChar w:fldCharType="separate"/>
      </w:r>
      <w:r>
        <w:rPr>
          <w:rStyle w:val="19"/>
          <w:rFonts w:hint="eastAsia"/>
        </w:rPr>
        <w:t>第一章 进入其他海关事务联系系统</w:t>
      </w:r>
      <w:r>
        <w:tab/>
      </w:r>
      <w:r>
        <w:fldChar w:fldCharType="begin"/>
      </w:r>
      <w:r>
        <w:instrText xml:space="preserve"> PAGEREF _Toc453075073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7"/>
        <w:ind w:left="420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HYPERLINK \l "_Toc453075074" </w:instrText>
      </w:r>
      <w:r>
        <w:fldChar w:fldCharType="separate"/>
      </w:r>
      <w:r>
        <w:rPr>
          <w:rStyle w:val="19"/>
          <w:rFonts w:hint="eastAsia"/>
        </w:rPr>
        <w:t>第二章 待办事务</w:t>
      </w:r>
      <w:r>
        <w:tab/>
      </w:r>
      <w:r>
        <w:fldChar w:fldCharType="begin"/>
      </w:r>
      <w:r>
        <w:instrText xml:space="preserve"> PAGEREF _Toc453075074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7"/>
        <w:ind w:left="420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HYPERLINK \l "_Toc453075075" </w:instrText>
      </w:r>
      <w:r>
        <w:fldChar w:fldCharType="separate"/>
      </w:r>
      <w:r>
        <w:rPr>
          <w:rStyle w:val="19"/>
          <w:rFonts w:hint="eastAsia"/>
        </w:rPr>
        <w:t>第三章 汇总征税企业资格备案</w:t>
      </w:r>
      <w:r>
        <w:tab/>
      </w:r>
      <w:r>
        <w:fldChar w:fldCharType="begin"/>
      </w:r>
      <w:r>
        <w:instrText xml:space="preserve"> PAGEREF _Toc453075075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sz w:val="21"/>
          <w:szCs w:val="22"/>
        </w:rPr>
      </w:pPr>
      <w:r>
        <w:fldChar w:fldCharType="begin"/>
      </w:r>
      <w:r>
        <w:instrText xml:space="preserve"> HYPERLINK \l "_Toc453075076" </w:instrText>
      </w:r>
      <w:r>
        <w:fldChar w:fldCharType="separate"/>
      </w:r>
      <w:r>
        <w:rPr>
          <w:rStyle w:val="19"/>
        </w:rPr>
        <w:t>3.1</w:t>
      </w:r>
      <w:r>
        <w:rPr>
          <w:rStyle w:val="19"/>
          <w:rFonts w:hint="eastAsia"/>
        </w:rPr>
        <w:t xml:space="preserve"> 新增汇总征税</w:t>
      </w:r>
      <w:r>
        <w:tab/>
      </w:r>
      <w:r>
        <w:fldChar w:fldCharType="begin"/>
      </w:r>
      <w:r>
        <w:instrText xml:space="preserve"> PAGEREF _Toc453075076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sz w:val="21"/>
          <w:szCs w:val="22"/>
        </w:rPr>
      </w:pPr>
      <w:r>
        <w:fldChar w:fldCharType="begin"/>
      </w:r>
      <w:r>
        <w:instrText xml:space="preserve"> HYPERLINK \l "_Toc453075077" </w:instrText>
      </w:r>
      <w:r>
        <w:fldChar w:fldCharType="separate"/>
      </w:r>
      <w:r>
        <w:rPr>
          <w:rStyle w:val="19"/>
        </w:rPr>
        <w:t>3.2</w:t>
      </w:r>
      <w:r>
        <w:rPr>
          <w:rStyle w:val="19"/>
          <w:rFonts w:hint="eastAsia"/>
        </w:rPr>
        <w:t xml:space="preserve"> 修改汇总征税</w:t>
      </w:r>
      <w:r>
        <w:tab/>
      </w:r>
      <w:r>
        <w:fldChar w:fldCharType="begin"/>
      </w:r>
      <w:r>
        <w:instrText xml:space="preserve"> PAGEREF _Toc453075077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7"/>
        <w:ind w:left="420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HYPERLINK \l "_Toc453075078" </w:instrText>
      </w:r>
      <w:r>
        <w:fldChar w:fldCharType="separate"/>
      </w:r>
      <w:r>
        <w:rPr>
          <w:rStyle w:val="19"/>
          <w:rFonts w:hint="eastAsia"/>
        </w:rPr>
        <w:t>第四章 非政策性退税申请</w:t>
      </w:r>
      <w:r>
        <w:tab/>
      </w:r>
      <w:r>
        <w:fldChar w:fldCharType="begin"/>
      </w:r>
      <w:r>
        <w:instrText xml:space="preserve"> PAGEREF _Toc453075078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sz w:val="21"/>
          <w:szCs w:val="22"/>
        </w:rPr>
      </w:pPr>
      <w:r>
        <w:fldChar w:fldCharType="begin"/>
      </w:r>
      <w:r>
        <w:instrText xml:space="preserve"> HYPERLINK \l "_Toc453075079" </w:instrText>
      </w:r>
      <w:r>
        <w:fldChar w:fldCharType="separate"/>
      </w:r>
      <w:r>
        <w:rPr>
          <w:rStyle w:val="19"/>
        </w:rPr>
        <w:t>4.1</w:t>
      </w:r>
      <w:r>
        <w:rPr>
          <w:rStyle w:val="19"/>
          <w:rFonts w:hint="eastAsia"/>
        </w:rPr>
        <w:t xml:space="preserve"> 新增非政策性退税</w:t>
      </w:r>
      <w:r>
        <w:tab/>
      </w:r>
      <w:r>
        <w:fldChar w:fldCharType="begin"/>
      </w:r>
      <w:r>
        <w:instrText xml:space="preserve"> PAGEREF _Toc453075079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sz w:val="21"/>
          <w:szCs w:val="22"/>
        </w:rPr>
      </w:pPr>
      <w:r>
        <w:fldChar w:fldCharType="begin"/>
      </w:r>
      <w:r>
        <w:instrText xml:space="preserve"> HYPERLINK \l "_Toc453075080" </w:instrText>
      </w:r>
      <w:r>
        <w:fldChar w:fldCharType="separate"/>
      </w:r>
      <w:r>
        <w:rPr>
          <w:rStyle w:val="19"/>
        </w:rPr>
        <w:t>4.2</w:t>
      </w:r>
      <w:r>
        <w:rPr>
          <w:rStyle w:val="19"/>
          <w:rFonts w:hint="eastAsia"/>
        </w:rPr>
        <w:t xml:space="preserve"> 修改非政策性退税</w:t>
      </w:r>
      <w:r>
        <w:tab/>
      </w:r>
      <w:r>
        <w:fldChar w:fldCharType="begin"/>
      </w:r>
      <w:r>
        <w:instrText xml:space="preserve"> PAGEREF _Toc453075080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ind w:left="420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HYPERLINK \l "_Toc453075081" </w:instrText>
      </w:r>
      <w:r>
        <w:fldChar w:fldCharType="separate"/>
      </w:r>
      <w:r>
        <w:rPr>
          <w:rStyle w:val="19"/>
          <w:rFonts w:hint="eastAsia"/>
        </w:rPr>
        <w:t>第五章 税款滞纳金减免申请</w:t>
      </w:r>
      <w:r>
        <w:tab/>
      </w:r>
      <w:r>
        <w:fldChar w:fldCharType="begin"/>
      </w:r>
      <w:r>
        <w:instrText xml:space="preserve"> PAGEREF _Toc453075081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sz w:val="21"/>
          <w:szCs w:val="22"/>
        </w:rPr>
      </w:pPr>
      <w:r>
        <w:fldChar w:fldCharType="begin"/>
      </w:r>
      <w:r>
        <w:instrText xml:space="preserve"> HYPERLINK \l "_Toc453075082" </w:instrText>
      </w:r>
      <w:r>
        <w:fldChar w:fldCharType="separate"/>
      </w:r>
      <w:r>
        <w:rPr>
          <w:rStyle w:val="19"/>
        </w:rPr>
        <w:t>5.1</w:t>
      </w:r>
      <w:r>
        <w:rPr>
          <w:rStyle w:val="19"/>
          <w:rFonts w:hint="eastAsia"/>
        </w:rPr>
        <w:t xml:space="preserve"> 新增税款滞纳金减免</w:t>
      </w:r>
      <w:r>
        <w:tab/>
      </w:r>
      <w:r>
        <w:fldChar w:fldCharType="begin"/>
      </w:r>
      <w:r>
        <w:instrText xml:space="preserve"> PAGEREF _Toc453075082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sz w:val="21"/>
          <w:szCs w:val="22"/>
        </w:rPr>
      </w:pPr>
      <w:r>
        <w:fldChar w:fldCharType="begin"/>
      </w:r>
      <w:r>
        <w:instrText xml:space="preserve"> HYPERLINK \l "_Toc453075083" </w:instrText>
      </w:r>
      <w:r>
        <w:fldChar w:fldCharType="separate"/>
      </w:r>
      <w:r>
        <w:rPr>
          <w:rStyle w:val="19"/>
        </w:rPr>
        <w:t>5.2</w:t>
      </w:r>
      <w:r>
        <w:rPr>
          <w:rStyle w:val="19"/>
          <w:rFonts w:hint="eastAsia"/>
        </w:rPr>
        <w:t xml:space="preserve"> 修改税款滞纳金减免</w:t>
      </w:r>
      <w:r>
        <w:tab/>
      </w:r>
      <w:r>
        <w:fldChar w:fldCharType="begin"/>
      </w:r>
      <w:r>
        <w:instrText xml:space="preserve"> PAGEREF _Toc453075083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7"/>
        <w:ind w:left="420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HYPERLINK \l "_Toc453075084" </w:instrText>
      </w:r>
      <w:r>
        <w:fldChar w:fldCharType="separate"/>
      </w:r>
      <w:r>
        <w:rPr>
          <w:rStyle w:val="19"/>
          <w:rFonts w:hint="eastAsia"/>
        </w:rPr>
        <w:t>第六章 查询统计</w:t>
      </w:r>
      <w:r>
        <w:tab/>
      </w:r>
      <w:r>
        <w:fldChar w:fldCharType="begin"/>
      </w:r>
      <w:r>
        <w:instrText xml:space="preserve"> PAGEREF _Toc453075084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sz w:val="21"/>
          <w:szCs w:val="22"/>
        </w:rPr>
      </w:pPr>
      <w:r>
        <w:fldChar w:fldCharType="begin"/>
      </w:r>
      <w:r>
        <w:instrText xml:space="preserve"> HYPERLINK \l "_Toc453075085" </w:instrText>
      </w:r>
      <w:r>
        <w:fldChar w:fldCharType="separate"/>
      </w:r>
      <w:r>
        <w:rPr>
          <w:rStyle w:val="19"/>
        </w:rPr>
        <w:t>6.1</w:t>
      </w:r>
      <w:r>
        <w:rPr>
          <w:rStyle w:val="19"/>
          <w:rFonts w:hint="eastAsia"/>
        </w:rPr>
        <w:t xml:space="preserve"> 海关通知查询</w:t>
      </w:r>
      <w:r>
        <w:tab/>
      </w:r>
      <w:r>
        <w:fldChar w:fldCharType="begin"/>
      </w:r>
      <w:r>
        <w:instrText xml:space="preserve"> PAGEREF _Toc453075085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sz w:val="21"/>
          <w:szCs w:val="22"/>
        </w:rPr>
      </w:pPr>
      <w:r>
        <w:fldChar w:fldCharType="begin"/>
      </w:r>
      <w:r>
        <w:instrText xml:space="preserve"> HYPERLINK \l "_Toc453075086" </w:instrText>
      </w:r>
      <w:r>
        <w:fldChar w:fldCharType="separate"/>
      </w:r>
      <w:r>
        <w:rPr>
          <w:rStyle w:val="19"/>
        </w:rPr>
        <w:t>6.2</w:t>
      </w:r>
      <w:r>
        <w:rPr>
          <w:rStyle w:val="19"/>
          <w:rFonts w:hint="eastAsia"/>
        </w:rPr>
        <w:t xml:space="preserve"> 企业申请单查询</w:t>
      </w:r>
      <w:r>
        <w:tab/>
      </w:r>
      <w:r>
        <w:fldChar w:fldCharType="begin"/>
      </w:r>
      <w:r>
        <w:instrText xml:space="preserve"> PAGEREF _Toc453075086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sz w:val="21"/>
          <w:szCs w:val="22"/>
        </w:rPr>
      </w:pPr>
      <w:r>
        <w:fldChar w:fldCharType="begin"/>
      </w:r>
      <w:r>
        <w:instrText xml:space="preserve"> HYPERLINK \l "_Toc453075087" </w:instrText>
      </w:r>
      <w:r>
        <w:fldChar w:fldCharType="separate"/>
      </w:r>
      <w:r>
        <w:rPr>
          <w:rStyle w:val="19"/>
        </w:rPr>
        <w:t>6.3</w:t>
      </w:r>
      <w:r>
        <w:rPr>
          <w:rStyle w:val="19"/>
          <w:rFonts w:hint="eastAsia"/>
        </w:rPr>
        <w:t xml:space="preserve"> 可供查询的状态</w:t>
      </w:r>
      <w:r>
        <w:tab/>
      </w:r>
      <w:r>
        <w:fldChar w:fldCharType="begin"/>
      </w:r>
      <w:r>
        <w:instrText xml:space="preserve"> PAGEREF _Toc453075087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7"/>
        <w:ind w:left="420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HYPERLINK \l "_Toc453075088" </w:instrText>
      </w:r>
      <w:r>
        <w:fldChar w:fldCharType="separate"/>
      </w:r>
      <w:r>
        <w:rPr>
          <w:rStyle w:val="19"/>
          <w:rFonts w:hint="eastAsia"/>
        </w:rPr>
        <w:t>第七章 退出系统</w:t>
      </w:r>
      <w:r>
        <w:tab/>
      </w:r>
      <w:r>
        <w:fldChar w:fldCharType="begin"/>
      </w:r>
      <w:r>
        <w:instrText xml:space="preserve"> PAGEREF _Toc453075088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80"/>
        </w:tabs>
        <w:spacing w:before="326" w:after="326"/>
        <w:rPr>
          <w:rFonts w:ascii="Calibri" w:hAnsi="Calibri" w:eastAsia="宋体"/>
          <w:b w:val="0"/>
          <w:szCs w:val="22"/>
        </w:rPr>
      </w:pPr>
      <w:r>
        <w:fldChar w:fldCharType="begin"/>
      </w:r>
      <w:r>
        <w:instrText xml:space="preserve"> HYPERLINK \l "_Toc453075089" </w:instrText>
      </w:r>
      <w:r>
        <w:fldChar w:fldCharType="separate"/>
      </w:r>
      <w:r>
        <w:rPr>
          <w:rStyle w:val="19"/>
          <w:rFonts w:hint="eastAsia"/>
        </w:rPr>
        <w:t>第三篇 常见问题解答</w:t>
      </w:r>
      <w:r>
        <w:tab/>
      </w:r>
      <w:r>
        <w:fldChar w:fldCharType="begin"/>
      </w:r>
      <w:r>
        <w:instrText xml:space="preserve"> PAGEREF _Toc453075089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2"/>
      </w:pPr>
      <w:r>
        <w:fldChar w:fldCharType="end"/>
      </w:r>
      <w:bookmarkStart w:id="0" w:name="_Toc453075071"/>
      <w:r>
        <w:rPr>
          <w:rFonts w:hint="eastAsia"/>
        </w:rPr>
        <w:t>系统介绍</w:t>
      </w:r>
      <w:bookmarkEnd w:id="0"/>
    </w:p>
    <w:p>
      <w:pPr>
        <w:pStyle w:val="2"/>
        <w:spacing w:line="240" w:lineRule="auto"/>
        <w:ind w:left="0" w:right="200"/>
      </w:pPr>
      <w:bookmarkStart w:id="1" w:name="_Toc67469766"/>
      <w:bookmarkStart w:id="2" w:name="_Toc453075072"/>
      <w:r>
        <w:rPr>
          <w:rFonts w:hint="eastAsia"/>
        </w:rPr>
        <w:t>具体操作</w:t>
      </w:r>
      <w:bookmarkEnd w:id="1"/>
      <w:r>
        <w:rPr>
          <w:rFonts w:hint="eastAsia"/>
        </w:rPr>
        <w:t>流程</w:t>
      </w:r>
      <w:bookmarkEnd w:id="2"/>
    </w:p>
    <w:p>
      <w:pPr>
        <w:pStyle w:val="30"/>
        <w:spacing w:line="240" w:lineRule="auto"/>
        <w:ind w:left="360" w:right="200"/>
      </w:pPr>
      <w:bookmarkStart w:id="3" w:name="_Toc453075073"/>
      <w:r>
        <w:rPr>
          <w:rFonts w:hint="eastAsia"/>
        </w:rPr>
        <w:t>进入海关事务联系系统</w:t>
      </w:r>
      <w:bookmarkEnd w:id="3"/>
    </w:p>
    <w:p>
      <w:pPr>
        <w:ind w:right="200" w:firstLine="420"/>
      </w:pPr>
      <w:r>
        <w:rPr>
          <w:rFonts w:hint="eastAsia"/>
        </w:rPr>
        <w:t>从WINDOWS进入系统，将企业的IC卡插入连接在电脑上的IC卡读卡器中，或将操作员的Ikey卡插入电脑的USB接口。当IC卡和Ikey同时使用时，IC卡优先。</w:t>
      </w:r>
    </w:p>
    <w:p>
      <w:pPr>
        <w:ind w:left="210" w:right="200" w:firstLine="210"/>
      </w:pPr>
      <w:r>
        <w:rPr>
          <w:rFonts w:hint="eastAsia"/>
        </w:rPr>
        <w:t>进入中国电子口岸系统主页，输入ＩＣ卡密码。</w:t>
      </w:r>
    </w:p>
    <w:p>
      <w:pPr>
        <w:ind w:left="210" w:right="200" w:firstLine="210"/>
        <w:rPr>
          <w:color w:val="339966"/>
        </w:rPr>
      </w:pPr>
      <w:r>
        <w:rPr>
          <w:rFonts w:hint="eastAsia"/>
          <w:color w:val="339966"/>
        </w:rPr>
        <w:drawing>
          <wp:inline distT="0" distB="0" distL="0" distR="0">
            <wp:extent cx="5314950" cy="42545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</w:pPr>
      <w:r>
        <w:rPr>
          <w:rFonts w:hint="eastAsia"/>
        </w:rPr>
        <w:t>选择“海关事务联系系统”</w:t>
      </w:r>
    </w:p>
    <w:p>
      <w:pPr>
        <w:ind w:left="210" w:right="200" w:firstLine="210"/>
        <w:rPr>
          <w:color w:val="339966"/>
        </w:rPr>
      </w:pPr>
      <w:r>
        <w:rPr>
          <w:rFonts w:hint="eastAsia"/>
          <w:color w:val="339966"/>
        </w:rPr>
        <w:drawing>
          <wp:inline distT="0" distB="0" distL="0" distR="0">
            <wp:extent cx="4718050" cy="3771900"/>
            <wp:effectExtent l="1905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210" w:right="200" w:firstLine="210"/>
        <w:rPr>
          <w:color w:val="339966"/>
        </w:rPr>
      </w:pPr>
    </w:p>
    <w:p>
      <w:pPr>
        <w:ind w:left="210" w:right="200" w:firstLine="210"/>
      </w:pPr>
      <w:r>
        <w:rPr>
          <w:rFonts w:hint="eastAsia"/>
        </w:rPr>
        <w:t>选择“其他海关事务联系”，即可进入录入页面</w:t>
      </w:r>
    </w:p>
    <w:p>
      <w:r>
        <w:rPr>
          <w:rFonts w:hint="eastAsia"/>
        </w:rPr>
        <w:drawing>
          <wp:inline distT="0" distB="0" distL="0" distR="0">
            <wp:extent cx="5822950" cy="819150"/>
            <wp:effectExtent l="19050" t="0" r="6350" b="0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0"/>
        <w:spacing w:line="240" w:lineRule="auto"/>
        <w:ind w:left="360" w:right="200"/>
      </w:pPr>
      <w:bookmarkStart w:id="4" w:name="_Toc453075074"/>
      <w:r>
        <w:rPr>
          <w:rFonts w:hint="eastAsia"/>
        </w:rPr>
        <w:t>待办事务</w:t>
      </w:r>
      <w:bookmarkEnd w:id="4"/>
    </w:p>
    <w:p>
      <w:pPr>
        <w:ind w:left="210" w:right="200" w:firstLine="210"/>
      </w:pPr>
      <w:r>
        <w:rPr>
          <w:rFonts w:hint="eastAsia"/>
        </w:rPr>
        <w:t>进入“海关事务联系系统”，点击右上“待办”，系统列出所有待办单据，点击列表中对应数据的“查看”，可以进入表单详细界面，进行查看或录入/申报操作。</w:t>
      </w:r>
    </w:p>
    <w:p>
      <w:r>
        <w:rPr>
          <w:rFonts w:hint="eastAsia"/>
        </w:rPr>
        <w:drawing>
          <wp:inline distT="0" distB="0" distL="0" distR="0">
            <wp:extent cx="5651500" cy="3181350"/>
            <wp:effectExtent l="19050" t="0" r="6350" b="0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也可根据查询条件查询指定数据进行操作。</w:t>
      </w:r>
    </w:p>
    <w:p/>
    <w:p>
      <w:r>
        <w:rPr>
          <w:rFonts w:hint="eastAsia"/>
        </w:rPr>
        <w:drawing>
          <wp:inline distT="0" distB="0" distL="0" distR="0">
            <wp:extent cx="5651500" cy="3181350"/>
            <wp:effectExtent l="19050" t="0" r="6350" b="0"/>
            <wp:docPr id="6" name="图片 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点击“查看”，对数据进行查看操作。</w:t>
      </w:r>
    </w:p>
    <w:p>
      <w:r>
        <w:rPr>
          <w:rFonts w:hint="eastAsia"/>
        </w:rPr>
        <w:drawing>
          <wp:inline distT="0" distB="0" distL="0" distR="0">
            <wp:extent cx="5759450" cy="3238500"/>
            <wp:effectExtent l="19050" t="0" r="0" b="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进行录入/申报操作。</w:t>
      </w:r>
    </w:p>
    <w:p/>
    <w:p>
      <w:pPr>
        <w:pStyle w:val="30"/>
        <w:spacing w:line="240" w:lineRule="auto"/>
        <w:ind w:left="360" w:right="200"/>
      </w:pPr>
      <w:bookmarkStart w:id="5" w:name="_Toc453075075"/>
      <w:r>
        <w:rPr>
          <w:rFonts w:hint="eastAsia"/>
        </w:rPr>
        <w:t>汇总征税企业资格备案</w:t>
      </w:r>
      <w:bookmarkEnd w:id="5"/>
    </w:p>
    <w:p>
      <w:pPr>
        <w:pStyle w:val="4"/>
      </w:pPr>
      <w:bookmarkStart w:id="6" w:name="_Toc453075076"/>
      <w:r>
        <w:rPr>
          <w:rFonts w:hint="eastAsia"/>
        </w:rPr>
        <w:t>新增汇总征税</w:t>
      </w:r>
      <w:bookmarkEnd w:id="6"/>
    </w:p>
    <w:p>
      <w:r>
        <w:rPr>
          <w:rFonts w:hint="eastAsia"/>
          <w:b/>
        </w:rPr>
        <w:t>说明</w:t>
      </w:r>
      <w:r>
        <w:rPr>
          <w:rFonts w:hint="eastAsia"/>
        </w:rPr>
        <w:t>：持卡企业，进行汇总征税企业资格备案</w:t>
      </w:r>
    </w:p>
    <w:p>
      <w:pPr>
        <w:rPr>
          <w:b/>
        </w:rPr>
      </w:pPr>
      <w:r>
        <w:rPr>
          <w:rFonts w:hint="eastAsia"/>
          <w:b/>
        </w:rPr>
        <w:t>操作：</w:t>
      </w:r>
      <w:r>
        <w:rPr>
          <w:rFonts w:hint="eastAsia"/>
        </w:rPr>
        <w:t>在点击界面左侧菜单，选择 “汇总征税企业资格备案”-“新增汇总征税”，进入“新增汇总征税”界面。</w:t>
      </w:r>
    </w:p>
    <w:p>
      <w:r>
        <w:drawing>
          <wp:inline distT="0" distB="0" distL="0" distR="0">
            <wp:extent cx="5270500" cy="3346450"/>
            <wp:effectExtent l="1905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录入</w:t>
      </w:r>
    </w:p>
    <w:p>
      <w:r>
        <w:t>企业海关注册编码</w:t>
      </w:r>
      <w:r>
        <w:rPr>
          <w:rFonts w:hint="eastAsia"/>
        </w:rPr>
        <w:t>、企业名称字段由系统自动反填当前企业操作员卡的信息，</w:t>
      </w:r>
    </w:p>
    <w:p>
      <w:r>
        <w:rPr>
          <w:rFonts w:hint="eastAsia"/>
        </w:rPr>
        <w:t>通过下拉框选择主管海关、</w:t>
      </w:r>
      <w:r>
        <w:t>汇总纳税申请适用关区</w:t>
      </w:r>
      <w:r>
        <w:rPr>
          <w:rFonts w:hint="eastAsia"/>
        </w:rPr>
        <w:t>字段（可多选），</w:t>
      </w:r>
    </w:p>
    <w:p>
      <w:r>
        <w:rPr>
          <w:rFonts w:hint="eastAsia"/>
        </w:rPr>
        <w:t>录入</w:t>
      </w:r>
      <w:r>
        <w:t>申请单位统一社会信用代码</w:t>
      </w:r>
      <w:r>
        <w:rPr>
          <w:rFonts w:hint="eastAsia"/>
        </w:rPr>
        <w:t>、情况说明字段，</w:t>
      </w:r>
    </w:p>
    <w:p>
      <w:r>
        <w:rPr>
          <w:rFonts w:hint="eastAsia"/>
        </w:rPr>
        <w:t>通过单选框，选择以下4个选项：</w:t>
      </w:r>
    </w:p>
    <w:p>
      <w:r>
        <w:rPr>
          <w:rFonts w:hint="eastAsia"/>
        </w:rPr>
        <w:t>1、</w:t>
      </w:r>
      <w:r>
        <w:t>税费电子支付企业</w:t>
      </w:r>
    </w:p>
    <w:p>
      <w:r>
        <w:rPr>
          <w:rFonts w:hint="eastAsia"/>
        </w:rPr>
        <w:t>2、</w:t>
      </w:r>
      <w:r>
        <w:t>一般信用等级以上</w:t>
      </w:r>
    </w:p>
    <w:p>
      <w:r>
        <w:rPr>
          <w:rFonts w:hint="eastAsia"/>
        </w:rPr>
        <w:t>3、</w:t>
      </w:r>
      <w:r>
        <w:t>年内没有违反海关监管规定、进出口侵犯知识产权货物、走私记录，没有欠缴海关税收记录</w:t>
      </w:r>
    </w:p>
    <w:p>
      <w:r>
        <w:rPr>
          <w:rFonts w:hint="eastAsia"/>
        </w:rPr>
        <w:t>4、</w:t>
      </w:r>
      <w:r>
        <w:t>遵守海关征税管理规定，积极配合海关征管工作，按期及时纳税，能为海关提供必要的商贸信息</w:t>
      </w:r>
    </w:p>
    <w:p>
      <w:pPr>
        <w:rPr>
          <w:color w:val="FF0000"/>
        </w:rPr>
      </w:pPr>
      <w:r>
        <w:rPr>
          <w:rFonts w:hint="eastAsia"/>
          <w:color w:val="FF0000"/>
        </w:rPr>
        <w:t>输入框提示</w:t>
      </w:r>
    </w:p>
    <w:p>
      <w:pPr>
        <w:rPr>
          <w:color w:val="FF0000"/>
        </w:rPr>
      </w:pPr>
      <w:r>
        <w:rPr>
          <w:rFonts w:hint="eastAsia"/>
          <w:color w:val="FF0000"/>
        </w:rPr>
        <w:t>录入的字段不满足录入条件时，会在对应的输入框旁边用</w:t>
      </w:r>
      <w:r>
        <w:rPr>
          <w:rFonts w:hint="eastAsia"/>
          <w:color w:val="FF0000"/>
        </w:rPr>
        <w:drawing>
          <wp:inline distT="0" distB="0" distL="0" distR="0">
            <wp:extent cx="165100" cy="222250"/>
            <wp:effectExtent l="1905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提示用户，鼠标放在</w:t>
      </w:r>
      <w:r>
        <w:rPr>
          <w:rFonts w:hint="eastAsia"/>
          <w:color w:val="FF0000"/>
        </w:rPr>
        <w:drawing>
          <wp:inline distT="0" distB="0" distL="0" distR="0">
            <wp:extent cx="165100" cy="222250"/>
            <wp:effectExtent l="1905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，可显示提示信息。</w:t>
      </w:r>
    </w:p>
    <w:p/>
    <w:p>
      <w:r>
        <w:rPr>
          <w:rFonts w:hint="eastAsia"/>
        </w:rPr>
        <w:t>附件上传</w:t>
      </w:r>
    </w:p>
    <w:p>
      <w:r>
        <w:rPr>
          <w:rFonts w:hint="eastAsia"/>
        </w:rPr>
        <w:t>点击“浏览”按钮，选择要上传的附件，点击“打开”按钮，再通过下拉框选择附件类型，</w:t>
      </w:r>
    </w:p>
    <w:p>
      <w:r>
        <w:rPr>
          <w:rFonts w:hint="eastAsia"/>
        </w:rPr>
        <w:t>点击“上传”按钮，系统反馈附件上传状态，弹出提示框提示上传成功，并在附件上传列表中显示；</w:t>
      </w:r>
    </w:p>
    <w:p>
      <w:r>
        <w:rPr>
          <w:rFonts w:hint="eastAsia"/>
        </w:rPr>
        <w:t>注：附件必须为pdf文件类型，大小不能超过4M。</w:t>
      </w:r>
    </w:p>
    <w:p>
      <w:r>
        <w:rPr>
          <w:rFonts w:hint="eastAsia"/>
        </w:rPr>
        <w:t>暂存</w:t>
      </w:r>
    </w:p>
    <w:p>
      <w:r>
        <w:rPr>
          <w:rFonts w:hint="eastAsia"/>
        </w:rPr>
        <w:t>数据录入完毕，可点击暂存按钮，对当前录入的内容进行保存，界面弹出提示框，提示“暂存成功”。</w:t>
      </w:r>
    </w:p>
    <w:p>
      <w:r>
        <w:rPr>
          <w:rFonts w:hint="eastAsia"/>
        </w:rPr>
        <w:drawing>
          <wp:inline distT="0" distB="0" distL="0" distR="0">
            <wp:extent cx="2381250" cy="115570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申报</w:t>
      </w:r>
    </w:p>
    <w:p>
      <w:r>
        <w:rPr>
          <w:rFonts w:hint="eastAsia"/>
        </w:rPr>
        <w:t>数据录入完毕，可点击申报按钮，对当前录入的内容进行申报，界面弹出提示框，提示“申报成功”。</w:t>
      </w:r>
    </w:p>
    <w:p>
      <w:r>
        <w:rPr>
          <w:rFonts w:hint="eastAsia"/>
        </w:rPr>
        <w:drawing>
          <wp:inline distT="0" distB="0" distL="0" distR="0">
            <wp:extent cx="2374900" cy="1155700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7" w:name="_Toc453075077"/>
      <w:r>
        <w:rPr>
          <w:rFonts w:hint="eastAsia"/>
        </w:rPr>
        <w:t>修改汇总征税</w:t>
      </w:r>
      <w:bookmarkEnd w:id="7"/>
    </w:p>
    <w:p>
      <w:r>
        <w:rPr>
          <w:rFonts w:hint="eastAsia"/>
          <w:b/>
        </w:rPr>
        <w:t>说明：</w:t>
      </w:r>
      <w:r>
        <w:rPr>
          <w:rFonts w:hint="eastAsia"/>
        </w:rPr>
        <w:t>对于“暂存”、“海关退单,补充资料”、“海关入库失败”的汇总征税企业资格备案申请，可进行修改操作。</w:t>
      </w:r>
    </w:p>
    <w:p>
      <w:pPr>
        <w:rPr>
          <w:b/>
        </w:rPr>
      </w:pPr>
      <w:r>
        <w:rPr>
          <w:rFonts w:hint="eastAsia"/>
        </w:rPr>
        <w:t xml:space="preserve">      对于“暂存”的汇总征税企业资格备案申请，可进行删除操作。</w:t>
      </w:r>
    </w:p>
    <w:p>
      <w:r>
        <w:rPr>
          <w:rFonts w:hint="eastAsia"/>
          <w:b/>
        </w:rPr>
        <w:t>操作：</w:t>
      </w:r>
      <w:r>
        <w:rPr>
          <w:rFonts w:hint="eastAsia"/>
        </w:rPr>
        <w:t>点击界面左侧菜单，选择 “汇总征税企业资格备案”-“修改汇总征税”，进入“修改汇总征税”界面。</w:t>
      </w:r>
    </w:p>
    <w:p>
      <w:r>
        <w:drawing>
          <wp:inline distT="0" distB="0" distL="0" distR="0">
            <wp:extent cx="5270500" cy="2559050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录入</w:t>
      </w:r>
    </w:p>
    <w:p>
      <w:r>
        <w:rPr>
          <w:rFonts w:hint="eastAsia"/>
        </w:rPr>
        <w:t>查询条件为：数据中心统一编号、数据状态、审批单号、企业海关注册编码、企业社会信用代码、申报时间，其中数据状态为必填，其他查询条件为非必填。</w:t>
      </w:r>
    </w:p>
    <w:p>
      <w:r>
        <w:rPr>
          <w:rFonts w:hint="eastAsia"/>
        </w:rPr>
        <w:t>查询</w:t>
      </w:r>
    </w:p>
    <w:p>
      <w:r>
        <w:rPr>
          <w:rFonts w:hint="eastAsia"/>
        </w:rPr>
        <w:t>录入查询条件后，点击查询按钮，查询结果显示符合查询条件的汇总征税备案申请。</w:t>
      </w:r>
    </w:p>
    <w:p>
      <w:r>
        <w:drawing>
          <wp:inline distT="0" distB="0" distL="0" distR="0">
            <wp:extent cx="5270500" cy="2692400"/>
            <wp:effectExtent l="1905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修改数据</w:t>
      </w:r>
    </w:p>
    <w:p>
      <w:r>
        <w:rPr>
          <w:rFonts w:hint="eastAsia"/>
        </w:rPr>
        <w:t>在查询结果列表，对于需要修改的数据，点击对应操作栏的“修改”按钮，进入汇总征税明细界面。录入需要修改的字段，然后点击暂存或申报按钮。</w:t>
      </w:r>
    </w:p>
    <w:p>
      <w:r>
        <w:rPr>
          <w:rFonts w:hint="eastAsia"/>
        </w:rPr>
        <w:drawing>
          <wp:inline distT="0" distB="0" distL="0" distR="0">
            <wp:extent cx="5270500" cy="2686050"/>
            <wp:effectExtent l="1905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删除</w:t>
      </w:r>
    </w:p>
    <w:p>
      <w:r>
        <w:rPr>
          <w:rFonts w:hint="eastAsia"/>
        </w:rPr>
        <w:t>在查询结果列表，对于“暂存”的数据，点击对应操作栏的“删除”按钮，系统弹出提示框，点击“确定”按钮，该数据被删除；点击“取消”按钮，取消删除操作。</w:t>
      </w:r>
    </w:p>
    <w:p>
      <w:r>
        <w:drawing>
          <wp:inline distT="0" distB="0" distL="0" distR="0">
            <wp:extent cx="2362200" cy="11430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0"/>
        <w:spacing w:line="240" w:lineRule="auto"/>
        <w:ind w:left="360" w:right="200"/>
      </w:pPr>
      <w:bookmarkStart w:id="8" w:name="_Toc453075078"/>
      <w:r>
        <w:rPr>
          <w:rFonts w:hint="eastAsia"/>
        </w:rPr>
        <w:t>非政策性退税申请</w:t>
      </w:r>
      <w:bookmarkEnd w:id="8"/>
    </w:p>
    <w:p>
      <w:pPr>
        <w:pStyle w:val="4"/>
      </w:pPr>
      <w:bookmarkStart w:id="9" w:name="_Toc453075079"/>
      <w:r>
        <w:rPr>
          <w:rFonts w:hint="eastAsia"/>
        </w:rPr>
        <w:t>新增非政策性退税</w:t>
      </w:r>
      <w:bookmarkEnd w:id="9"/>
    </w:p>
    <w:p>
      <w:pPr>
        <w:ind w:right="198" w:firstLine="420" w:firstLineChars="200"/>
      </w:pPr>
      <w:r>
        <w:rPr>
          <w:rFonts w:hint="eastAsia"/>
        </w:rPr>
        <w:t>进入录入页面，左面菜单栏“非政策性退税申请”，点击“新增非政策性退税申请”，可见右侧录入页面，点击右面“新增”，即可进行初始录入。</w:t>
      </w:r>
    </w:p>
    <w:p>
      <w:pPr>
        <w:ind w:right="198" w:firstLine="420" w:firstLineChars="200"/>
      </w:pPr>
      <w:r>
        <w:rPr>
          <w:rFonts w:hint="eastAsia"/>
        </w:rPr>
        <w:t>录入时，点击“暂存”，可以保存已录内容。</w:t>
      </w:r>
    </w:p>
    <w:p>
      <w:pPr>
        <w:ind w:right="198" w:firstLine="420" w:firstLineChars="200"/>
      </w:pPr>
      <w:r>
        <w:rPr>
          <w:rFonts w:hint="eastAsia"/>
        </w:rPr>
        <w:t>录入完毕，点击“申报”，即将数据发往海关。</w:t>
      </w:r>
    </w:p>
    <w:p>
      <w:r>
        <w:rPr>
          <w:rFonts w:hint="eastAsia"/>
        </w:rPr>
        <w:drawing>
          <wp:inline distT="0" distB="0" distL="0" distR="0">
            <wp:extent cx="5797550" cy="3263900"/>
            <wp:effectExtent l="19050" t="0" r="0" b="0"/>
            <wp:docPr id="17" name="图片 1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right="198" w:firstLine="420" w:firstLineChars="200"/>
      </w:pPr>
      <w:r>
        <w:rPr>
          <w:rFonts w:hint="eastAsia"/>
        </w:rPr>
        <w:t>录入注意事项（详见下图）：</w:t>
      </w:r>
    </w:p>
    <w:p>
      <w:pPr>
        <w:numPr>
          <w:ilvl w:val="0"/>
          <w:numId w:val="2"/>
        </w:numPr>
        <w:ind w:right="198"/>
      </w:pPr>
      <w:r>
        <w:rPr>
          <w:rFonts w:hint="eastAsia"/>
        </w:rPr>
        <w:t>附件不是必填项目，如无需要，不上传附件也可上报。</w:t>
      </w:r>
    </w:p>
    <w:p>
      <w:pPr>
        <w:numPr>
          <w:ilvl w:val="0"/>
          <w:numId w:val="2"/>
        </w:numPr>
        <w:ind w:right="198"/>
      </w:pPr>
      <w:r>
        <w:rPr>
          <w:rFonts w:hint="eastAsia"/>
        </w:rPr>
        <w:t>上传附件时，需先选择上传类型，再将制成pdf的文件上传即可，本系统只支持pdf文件的上传；每个附件的大小不超过4MB，所有附件不超过20MB；</w:t>
      </w:r>
    </w:p>
    <w:p>
      <w:pPr>
        <w:numPr>
          <w:ilvl w:val="0"/>
          <w:numId w:val="2"/>
        </w:numPr>
        <w:ind w:right="198"/>
      </w:pPr>
      <w:r>
        <w:rPr>
          <w:rFonts w:hint="eastAsia"/>
        </w:rPr>
        <w:t>栏目中显示“系统返填”项的，在录入时不需要填写，系统会自动写入；</w:t>
      </w:r>
    </w:p>
    <w:p>
      <w:pPr>
        <w:numPr>
          <w:ilvl w:val="0"/>
          <w:numId w:val="2"/>
        </w:numPr>
        <w:ind w:right="198"/>
      </w:pPr>
      <w:r>
        <w:rPr>
          <w:rFonts w:hint="eastAsia"/>
        </w:rPr>
        <w:t>填表时，带红色惊叹号标记的为必填项目。</w:t>
      </w:r>
    </w:p>
    <w:p/>
    <w:p>
      <w:pPr>
        <w:pStyle w:val="4"/>
      </w:pPr>
      <w:bookmarkStart w:id="10" w:name="_Toc453075080"/>
      <w:r>
        <w:rPr>
          <w:rFonts w:hint="eastAsia"/>
        </w:rPr>
        <w:t>修改非政策性退税</w:t>
      </w:r>
      <w:bookmarkEnd w:id="10"/>
    </w:p>
    <w:p>
      <w:pPr>
        <w:ind w:right="198" w:firstLine="435"/>
      </w:pPr>
      <w:r>
        <w:rPr>
          <w:rFonts w:hint="eastAsia"/>
        </w:rPr>
        <w:t>点击左边菜单栏非政策性退税申请中的“修改非政策性退税”栏目，即进入对录入单的修改。系统修改栏目可以对“暂存”“海关退回，补充资料”“发往海关失败”“海关入库失败”的单据进行修改。</w:t>
      </w:r>
    </w:p>
    <w:p>
      <w:pPr>
        <w:ind w:right="198" w:firstLine="435"/>
      </w:pPr>
      <w:r>
        <w:rPr>
          <w:rFonts w:hint="eastAsia"/>
        </w:rPr>
        <w:t>进入“修改非政策性退税”页面时，系统默认显示暂存状态的已录入数据。可以根据需要查询单据进行修改。</w:t>
      </w:r>
    </w:p>
    <w:p>
      <w:pPr>
        <w:ind w:right="198"/>
      </w:pPr>
      <w:r>
        <w:rPr>
          <w:rFonts w:hint="eastAsia"/>
        </w:rPr>
        <w:t xml:space="preserve">    </w:t>
      </w:r>
    </w:p>
    <w:p>
      <w:r>
        <w:rPr>
          <w:rFonts w:hint="eastAsia"/>
        </w:rPr>
        <w:drawing>
          <wp:inline distT="0" distB="0" distL="0" distR="0">
            <wp:extent cx="5854700" cy="3282950"/>
            <wp:effectExtent l="19050" t="0" r="0" b="0"/>
            <wp:docPr id="18" name="图片 1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right="198" w:firstLine="420"/>
      </w:pPr>
    </w:p>
    <w:p>
      <w:pPr>
        <w:ind w:right="198" w:firstLine="420"/>
      </w:pPr>
      <w:r>
        <w:rPr>
          <w:rFonts w:hint="eastAsia"/>
        </w:rPr>
        <w:t>系统“修改非政策性退税”栏目可以对“暂存”“海关退回，补充资料”“发往海关失败”“海关入库失败”的单据进行修改。</w:t>
      </w:r>
    </w:p>
    <w:p>
      <w:pPr>
        <w:ind w:right="198" w:firstLine="420"/>
      </w:pPr>
      <w:r>
        <w:rPr>
          <w:rFonts w:hint="eastAsia"/>
        </w:rPr>
        <w:t>在查询出的单据列表中可以对单据进行“查看”“修改”“删除”操作。</w:t>
      </w:r>
    </w:p>
    <w:p>
      <w:r>
        <w:rPr>
          <w:rFonts w:hint="eastAsia"/>
        </w:rPr>
        <w:drawing>
          <wp:inline distT="0" distB="0" distL="0" distR="0">
            <wp:extent cx="5797550" cy="3263900"/>
            <wp:effectExtent l="19050" t="0" r="0" b="0"/>
            <wp:docPr id="19" name="图片 1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修改后可以进行暂存和申报操作。</w:t>
      </w:r>
    </w:p>
    <w:p>
      <w:pPr>
        <w:pStyle w:val="30"/>
        <w:spacing w:line="240" w:lineRule="auto"/>
        <w:ind w:left="360" w:right="200"/>
      </w:pPr>
      <w:bookmarkStart w:id="11" w:name="_Toc453075081"/>
      <w:r>
        <w:rPr>
          <w:rFonts w:hint="eastAsia"/>
        </w:rPr>
        <w:t>税款滞纳金减免申请</w:t>
      </w:r>
      <w:bookmarkEnd w:id="11"/>
    </w:p>
    <w:p>
      <w:pPr>
        <w:pStyle w:val="4"/>
      </w:pPr>
      <w:bookmarkStart w:id="12" w:name="_Toc453075082"/>
      <w:r>
        <w:rPr>
          <w:rFonts w:hint="eastAsia"/>
        </w:rPr>
        <w:t>新增税款滞纳金减免</w:t>
      </w:r>
      <w:bookmarkEnd w:id="12"/>
    </w:p>
    <w:p>
      <w:pPr>
        <w:ind w:right="198" w:firstLine="420" w:firstLineChars="200"/>
      </w:pPr>
      <w:r>
        <w:rPr>
          <w:rFonts w:hint="eastAsia"/>
        </w:rPr>
        <w:t>进入“税款滞纳金减免申请”页面，左面菜单栏税款滞纳金减免申请中有两个选项，点击“新增税款滞纳金减免申请”，可见右侧录入页面，点击右面“新增”，即可进行初始录入。</w:t>
      </w:r>
    </w:p>
    <w:p>
      <w:pPr>
        <w:ind w:right="198" w:firstLine="420" w:firstLineChars="200"/>
      </w:pPr>
      <w:r>
        <w:rPr>
          <w:rFonts w:hint="eastAsia"/>
        </w:rPr>
        <w:t>录入时，点击“暂存”，可以保存已录内容。</w:t>
      </w:r>
    </w:p>
    <w:p>
      <w:pPr>
        <w:ind w:right="198" w:firstLine="420" w:firstLineChars="200"/>
      </w:pPr>
      <w:r>
        <w:rPr>
          <w:rFonts w:hint="eastAsia"/>
        </w:rPr>
        <w:t>录入完毕，点击“申报”，即将数据发往海关。</w:t>
      </w:r>
    </w:p>
    <w:p>
      <w:pPr>
        <w:ind w:right="198" w:firstLine="420" w:firstLineChars="200"/>
      </w:pPr>
    </w:p>
    <w:p>
      <w:r>
        <w:rPr>
          <w:rFonts w:hint="eastAsia"/>
        </w:rPr>
        <w:drawing>
          <wp:inline distT="0" distB="0" distL="0" distR="0">
            <wp:extent cx="5689600" cy="3200400"/>
            <wp:effectExtent l="19050" t="0" r="6350" b="0"/>
            <wp:docPr id="20" name="图片 2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right="198" w:firstLine="420" w:firstLineChars="200"/>
      </w:pPr>
      <w:r>
        <w:rPr>
          <w:rFonts w:hint="eastAsia"/>
        </w:rPr>
        <w:t>录入完毕后，点击“申报”，即将数据发往海关。</w:t>
      </w:r>
    </w:p>
    <w:p>
      <w:pPr>
        <w:pStyle w:val="11"/>
        <w:jc w:val="left"/>
      </w:pPr>
    </w:p>
    <w:p>
      <w:pPr>
        <w:ind w:right="198" w:firstLine="420" w:firstLineChars="200"/>
      </w:pPr>
      <w:r>
        <w:rPr>
          <w:rFonts w:hint="eastAsia"/>
        </w:rPr>
        <w:t>录入注意事项：</w:t>
      </w:r>
    </w:p>
    <w:p>
      <w:pPr>
        <w:numPr>
          <w:ilvl w:val="0"/>
          <w:numId w:val="2"/>
        </w:numPr>
        <w:ind w:right="198"/>
      </w:pPr>
      <w:r>
        <w:rPr>
          <w:rFonts w:hint="eastAsia"/>
        </w:rPr>
        <w:t>附件不是必填项目，如无需要，不上传附件也可上报。</w:t>
      </w:r>
    </w:p>
    <w:p>
      <w:pPr>
        <w:numPr>
          <w:ilvl w:val="0"/>
          <w:numId w:val="2"/>
        </w:numPr>
        <w:ind w:right="198"/>
      </w:pPr>
      <w:r>
        <w:rPr>
          <w:rFonts w:hint="eastAsia"/>
        </w:rPr>
        <w:t>上传附件时，需先选择上传类型，再将制成pdf的文件上传即可，本系统只支持pdf文件的上传；每个附件的大小不超过4MB，所有附件不超过20MB；</w:t>
      </w:r>
    </w:p>
    <w:p>
      <w:pPr>
        <w:numPr>
          <w:ilvl w:val="0"/>
          <w:numId w:val="2"/>
        </w:numPr>
        <w:ind w:right="198"/>
      </w:pPr>
      <w:r>
        <w:rPr>
          <w:rFonts w:hint="eastAsia"/>
        </w:rPr>
        <w:t>栏目中显示“系统返填”项的，在录入时不需要填写，系统会自动写入；</w:t>
      </w:r>
    </w:p>
    <w:p>
      <w:pPr>
        <w:numPr>
          <w:ilvl w:val="0"/>
          <w:numId w:val="2"/>
        </w:numPr>
        <w:ind w:right="198"/>
      </w:pPr>
      <w:r>
        <w:rPr>
          <w:rFonts w:hint="eastAsia"/>
        </w:rPr>
        <w:t>填表时，带红色惊叹号标记的为必填项目。</w:t>
      </w:r>
    </w:p>
    <w:p>
      <w:pPr>
        <w:ind w:left="780" w:right="198"/>
      </w:pPr>
    </w:p>
    <w:p>
      <w:r>
        <w:rPr>
          <w:rFonts w:hint="eastAsia"/>
        </w:rPr>
        <w:drawing>
          <wp:inline distT="0" distB="0" distL="0" distR="0">
            <wp:extent cx="5448300" cy="3086100"/>
            <wp:effectExtent l="19050" t="0" r="0" b="0"/>
            <wp:docPr id="21" name="图片 2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453075083"/>
      <w:r>
        <w:rPr>
          <w:rFonts w:hint="eastAsia"/>
        </w:rPr>
        <w:t>修改税款滞纳金减免</w:t>
      </w:r>
      <w:bookmarkEnd w:id="13"/>
    </w:p>
    <w:p>
      <w:pPr>
        <w:ind w:right="198" w:firstLine="435"/>
      </w:pPr>
      <w:r>
        <w:rPr>
          <w:rFonts w:hint="eastAsia"/>
        </w:rPr>
        <w:t>点击左边菜单栏税款滞纳金减免申请中的“修改税款滞纳金减免”栏目，即进入对接收数据的查询修改界面。</w:t>
      </w:r>
    </w:p>
    <w:p>
      <w:pPr>
        <w:ind w:right="198" w:firstLine="435"/>
      </w:pPr>
      <w:r>
        <w:rPr>
          <w:rFonts w:hint="eastAsia"/>
        </w:rPr>
        <w:t>在“修改税款滞纳金减免”页面可以录入数据中心统一编号、审批单号、企业社会信用代码、数据状态、企业海关注册编码、申报时间进行指定数据查询。</w:t>
      </w:r>
    </w:p>
    <w:p>
      <w:r>
        <w:rPr>
          <w:rFonts w:hint="eastAsia"/>
        </w:rPr>
        <w:drawing>
          <wp:inline distT="0" distB="0" distL="0" distR="0">
            <wp:extent cx="5689600" cy="3200400"/>
            <wp:effectExtent l="19050" t="0" r="6350" b="0"/>
            <wp:docPr id="22" name="图片 2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632450" cy="3168650"/>
            <wp:effectExtent l="19050" t="0" r="6350" b="0"/>
            <wp:docPr id="23" name="图片 2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right="198" w:firstLine="420"/>
      </w:pPr>
      <w:r>
        <w:rPr>
          <w:rFonts w:hint="eastAsia"/>
        </w:rPr>
        <w:t>可以点击查询结果列表的可操作栏中“修改”“删除”对数据进行操作。</w:t>
      </w:r>
    </w:p>
    <w:p>
      <w:r>
        <w:rPr>
          <w:rFonts w:hint="eastAsia"/>
        </w:rPr>
        <w:drawing>
          <wp:inline distT="0" distB="0" distL="0" distR="0">
            <wp:extent cx="5594350" cy="3149600"/>
            <wp:effectExtent l="19050" t="0" r="6350" b="0"/>
            <wp:docPr id="24" name="图片 2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right="198" w:firstLine="420"/>
      </w:pPr>
      <w:r>
        <w:rPr>
          <w:rFonts w:hint="eastAsia"/>
        </w:rPr>
        <w:t>在修改后重新申报给海关。</w:t>
      </w:r>
    </w:p>
    <w:p>
      <w:pPr>
        <w:pStyle w:val="30"/>
        <w:spacing w:line="240" w:lineRule="auto"/>
        <w:ind w:right="200" w:firstLine="420"/>
      </w:pPr>
      <w:bookmarkStart w:id="14" w:name="_Toc453075084"/>
      <w:r>
        <w:rPr>
          <w:rFonts w:hint="eastAsia"/>
        </w:rPr>
        <w:t>查询统计</w:t>
      </w:r>
      <w:bookmarkEnd w:id="14"/>
    </w:p>
    <w:p>
      <w:pPr>
        <w:pStyle w:val="4"/>
      </w:pPr>
      <w:bookmarkStart w:id="15" w:name="_Toc453075085"/>
      <w:bookmarkStart w:id="16" w:name="_Toc67469772"/>
      <w:r>
        <w:rPr>
          <w:rFonts w:hint="eastAsia"/>
        </w:rPr>
        <w:t>海关通知查询</w:t>
      </w:r>
      <w:bookmarkEnd w:id="15"/>
    </w:p>
    <w:p>
      <w:pPr>
        <w:ind w:firstLine="308" w:firstLineChars="147"/>
        <w:rPr>
          <w:b/>
        </w:rPr>
      </w:pPr>
      <w:r>
        <w:rPr>
          <w:rFonts w:hint="eastAsia"/>
        </w:rPr>
        <w:t>点击界面左侧菜单，选择 “查询统计”-“海关通知查询”，进入“海关通知查询”界面。</w:t>
      </w:r>
    </w:p>
    <w:p>
      <w:r>
        <w:rPr>
          <w:rFonts w:hint="eastAsia"/>
        </w:rPr>
        <w:drawing>
          <wp:inline distT="0" distB="0" distL="0" distR="0">
            <wp:extent cx="5270500" cy="2692400"/>
            <wp:effectExtent l="1905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</w:p>
    <w:p>
      <w:r>
        <w:rPr>
          <w:rFonts w:hint="eastAsia"/>
        </w:rPr>
        <w:t xml:space="preserve">                             </w:t>
      </w:r>
    </w:p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t>录入</w:t>
      </w:r>
    </w:p>
    <w:p>
      <w:r>
        <w:rPr>
          <w:rFonts w:hint="eastAsia"/>
        </w:rPr>
        <w:t>查询条件为：单据类型、企业社会信用代码、海关发起时间，企业海关注册编码自动反填当前企业卡的海关十位编码，其中单据类型、海关发起时间为必填，其他查询条件为非必填。</w:t>
      </w:r>
    </w:p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t>查询</w:t>
      </w:r>
    </w:p>
    <w:p>
      <w:r>
        <w:rPr>
          <w:rFonts w:hint="eastAsia"/>
        </w:rPr>
        <w:t>录入查询条件后，点击查询按钮，查询结果显示符合查询条件的海关发起联系单。</w:t>
      </w:r>
    </w:p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drawing>
          <wp:inline distT="0" distB="0" distL="0" distR="0">
            <wp:extent cx="5264150" cy="3035300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华文中宋" w:eastAsia="黑体"/>
        </w:rPr>
      </w:pPr>
    </w:p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t>查看</w:t>
      </w:r>
    </w:p>
    <w:p>
      <w:r>
        <w:rPr>
          <w:rFonts w:hint="eastAsia"/>
        </w:rPr>
        <w:t>在查询结果列表，点击某条记录操作栏的“查看”按钮，可查看取消汇总征税告知书。</w:t>
      </w:r>
    </w:p>
    <w:p>
      <w:r>
        <w:drawing>
          <wp:inline distT="0" distB="0" distL="0" distR="0">
            <wp:extent cx="5270500" cy="3879850"/>
            <wp:effectExtent l="1905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7" w:name="_Toc453075086"/>
      <w:r>
        <w:rPr>
          <w:rFonts w:hint="eastAsia"/>
        </w:rPr>
        <w:t>企业申请单查询</w:t>
      </w:r>
      <w:bookmarkEnd w:id="17"/>
    </w:p>
    <w:p>
      <w:r>
        <w:rPr>
          <w:rFonts w:hint="eastAsia"/>
          <w:b/>
        </w:rPr>
        <w:t>说明：</w:t>
      </w:r>
      <w:r>
        <w:rPr>
          <w:rFonts w:hint="eastAsia"/>
        </w:rPr>
        <w:t>持卡企业，查询企业发起申请单数据</w:t>
      </w:r>
    </w:p>
    <w:p>
      <w:pPr>
        <w:rPr>
          <w:b/>
        </w:rPr>
      </w:pPr>
      <w:r>
        <w:rPr>
          <w:rFonts w:hint="eastAsia"/>
          <w:b/>
        </w:rPr>
        <w:t>操作：</w:t>
      </w:r>
      <w:r>
        <w:rPr>
          <w:rFonts w:hint="eastAsia"/>
        </w:rPr>
        <w:t>点击界面左侧菜单，选择 “查询统计”-“企业申请单查询”，进入“企业申请单查询”界面。</w:t>
      </w:r>
    </w:p>
    <w:p>
      <w:r>
        <w:drawing>
          <wp:inline distT="0" distB="0" distL="0" distR="0">
            <wp:extent cx="5270500" cy="2546350"/>
            <wp:effectExtent l="1905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</w:t>
      </w:r>
    </w:p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t>录入</w:t>
      </w:r>
    </w:p>
    <w:p>
      <w:r>
        <w:rPr>
          <w:rFonts w:hint="eastAsia"/>
        </w:rPr>
        <w:t>查询条件为：单据类型、数据状态、数据中心统一编号、报关单号、企业海关注册编码、企业社会信用代码、申报时间，其中单据类型为必填，其他查询条件为非必填。</w:t>
      </w:r>
    </w:p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t>查询</w:t>
      </w:r>
    </w:p>
    <w:p>
      <w:r>
        <w:rPr>
          <w:rFonts w:hint="eastAsia"/>
        </w:rPr>
        <w:t>录入查询条件后，点击查询按钮，查询结果显示符合查询条件的企业申请单。</w:t>
      </w:r>
    </w:p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drawing>
          <wp:inline distT="0" distB="0" distL="0" distR="0">
            <wp:extent cx="5270500" cy="2686050"/>
            <wp:effectExtent l="1905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华文中宋" w:eastAsia="黑体"/>
        </w:rPr>
      </w:pPr>
    </w:p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t>查看</w:t>
      </w:r>
    </w:p>
    <w:p>
      <w:pPr>
        <w:ind w:firstLine="210" w:firstLineChars="100"/>
      </w:pPr>
      <w:r>
        <w:rPr>
          <w:rFonts w:hint="eastAsia"/>
        </w:rPr>
        <w:t>在查询结果列表，点击某条记录操作栏的“查看”按钮，可查看单据明细。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0500" cy="2673350"/>
            <wp:effectExtent l="1905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t>修改</w:t>
      </w:r>
    </w:p>
    <w:p>
      <w:r>
        <w:rPr>
          <w:rFonts w:hint="eastAsia"/>
        </w:rPr>
        <w:t>在查询结果列表，对于需要修改的数据，点击对应操作栏的“修改”按钮，进入明细界面，录入需要修改的字段，然后点击暂存或申报按钮。</w:t>
      </w:r>
    </w:p>
    <w:p/>
    <w:p>
      <w:pPr>
        <w:rPr>
          <w:rFonts w:ascii="黑体" w:hAnsi="华文中宋" w:eastAsia="黑体"/>
        </w:rPr>
      </w:pPr>
      <w:r>
        <w:rPr>
          <w:rFonts w:hint="eastAsia" w:ascii="黑体" w:hAnsi="华文中宋" w:eastAsia="黑体"/>
        </w:rPr>
        <w:t>删除</w:t>
      </w:r>
    </w:p>
    <w:p>
      <w:r>
        <w:rPr>
          <w:rFonts w:hint="eastAsia"/>
        </w:rPr>
        <w:t>在查询结果列表，对于需要删除的数据，点击对应操作栏的“删除”按钮，系统弹出提示框，点击“确定”按钮，该数据被删除；点击“取消”按钮，取消删除操作。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2362200" cy="11430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8" w:name="_Toc453075087"/>
      <w:r>
        <w:rPr>
          <w:rFonts w:hint="eastAsia"/>
        </w:rPr>
        <w:t>可供查询的状态</w:t>
      </w:r>
      <w:bookmarkEnd w:id="18"/>
    </w:p>
    <w:p>
      <w:r>
        <w:rPr>
          <w:rFonts w:hint="eastAsia"/>
        </w:rPr>
        <w:t>包括以下11种。</w:t>
      </w:r>
    </w:p>
    <w:p>
      <w:r>
        <w:rPr>
          <w:rFonts w:hint="eastAsia"/>
        </w:rPr>
        <w:drawing>
          <wp:inline distT="0" distB="0" distL="0" distR="0">
            <wp:extent cx="3067050" cy="2000250"/>
            <wp:effectExtent l="19050" t="0" r="0" b="0"/>
            <wp:docPr id="32" name="图片 3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3.2.1 暂存</w:t>
      </w:r>
    </w:p>
    <w:p>
      <w:pPr>
        <w:rPr>
          <w:rFonts w:ascii="宋体"/>
        </w:rPr>
      </w:pPr>
      <w:r>
        <w:rPr>
          <w:rFonts w:hint="eastAsia" w:ascii="宋体"/>
        </w:rPr>
        <w:drawing>
          <wp:inline distT="0" distB="0" distL="0" distR="0">
            <wp:extent cx="4025900" cy="3206750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以上图中商品名称为“键盘”的数据为例，该数据为暂存数据，可进行“查看”、“修改”、“删除”、“打印”操作。</w:t>
      </w:r>
    </w:p>
    <w:p>
      <w:r>
        <w:rPr>
          <w:rFonts w:hint="eastAsia"/>
        </w:rPr>
        <w:t>其中“查看”可以查看已录入的内容；</w:t>
      </w:r>
    </w:p>
    <w:p>
      <w:r>
        <w:rPr>
          <w:rFonts w:hint="eastAsia"/>
        </w:rPr>
        <w:t>“修改”可以对之前录入的内容进行修改，并报送海关。</w:t>
      </w:r>
    </w:p>
    <w:p>
      <w:r>
        <w:rPr>
          <w:rFonts w:hint="eastAsia"/>
        </w:rPr>
        <w:t>“删除”可以删除已录入的数据，已删除的数据不可恢复。</w:t>
      </w:r>
    </w:p>
    <w:p>
      <w:r>
        <w:rPr>
          <w:rFonts w:hint="eastAsia"/>
        </w:rPr>
        <w:t>“打印”可以打印预归类申请表单。</w:t>
      </w:r>
    </w:p>
    <w:p>
      <w:r>
        <w:rPr>
          <w:rFonts w:hint="eastAsia"/>
        </w:rPr>
        <w:drawing>
          <wp:inline distT="0" distB="0" distL="0" distR="0">
            <wp:extent cx="4489450" cy="3581400"/>
            <wp:effectExtent l="1905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3.2.2 申报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表示申报系统中录入的数据已上报，正在发送数据，但海关还没接收到，这个状态不是很常见。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3.2.3 发往海关成功/失败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表示从申报系统上报的申请数据海关已收到，或海关没有收到。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3.2.4 海关入库成功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表示海关已收到数据，且数据已录入海关的相关归类的系统。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3.2.5海关入库失败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表示海关入库失败，可以“查看”、“修改”、和“删除”。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选择“修改”，可修改被退回的数据，修改后可重新上报。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选择“删除”可删除被退回的数据。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drawing>
          <wp:inline distT="0" distB="0" distL="0" distR="0">
            <wp:extent cx="5314950" cy="425450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3.2.6 已同意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表示海关已经同意申请，选择“已同意”状态查询相关数据，点击数据栏中“查看”，可查看单据信息。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drawing>
          <wp:inline distT="0" distB="0" distL="0" distR="0">
            <wp:extent cx="4940300" cy="3949700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drawing>
          <wp:inline distT="0" distB="0" distL="0" distR="0">
            <wp:extent cx="4940300" cy="39624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drawing>
          <wp:inline distT="0" distB="0" distL="0" distR="0">
            <wp:extent cx="4902200" cy="391160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3.2.6 不同意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表示海关不同意此次申请，可以查看此次数据。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3.2.7 海关退回，补充资料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表示海关退回此次申请，可以进行查看或修改操作，修改后可再次提交海关。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drawing>
          <wp:inline distT="0" distB="0" distL="0" distR="0">
            <wp:extent cx="5524500" cy="3098800"/>
            <wp:effectExtent l="19050" t="0" r="0" b="0"/>
            <wp:docPr id="39" name="图片 3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0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/>
        </w:rPr>
      </w:pP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3.2.8 海关受理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海关正在处理状态，可以进行查看。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3.2.9 挂起，请联系海关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/>
        </w:rPr>
        <w:t>海关挂起此单据，不进行后续处理，请联系海关。</w:t>
      </w:r>
    </w:p>
    <w:p>
      <w:pPr>
        <w:ind w:firstLine="420" w:firstLineChars="200"/>
        <w:rPr>
          <w:rFonts w:ascii="宋体"/>
        </w:rPr>
      </w:pPr>
    </w:p>
    <w:p>
      <w:pPr>
        <w:pStyle w:val="30"/>
        <w:spacing w:line="240" w:lineRule="auto"/>
        <w:ind w:right="200" w:firstLine="420"/>
      </w:pPr>
      <w:bookmarkStart w:id="19" w:name="_Toc439670192"/>
      <w:bookmarkStart w:id="20" w:name="_Toc453075088"/>
      <w:r>
        <w:rPr>
          <w:rFonts w:hint="eastAsia"/>
        </w:rPr>
        <w:t>退出系统</w:t>
      </w:r>
      <w:bookmarkEnd w:id="19"/>
      <w:bookmarkEnd w:id="20"/>
    </w:p>
    <w:p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点击海关事务联系系统各界面右上角的</w:t>
      </w:r>
      <w:r>
        <w:rPr>
          <w:rFonts w:hint="eastAsia" w:ascii="宋体" w:hAnsi="宋体"/>
          <w:sz w:val="24"/>
          <w:bdr w:val="single" w:color="auto" w:sz="4" w:space="0"/>
          <w:shd w:val="pct10" w:color="auto" w:fill="FFFFFF"/>
        </w:rPr>
        <w:t>退出登录</w:t>
      </w:r>
      <w:r>
        <w:rPr>
          <w:rFonts w:hint="eastAsia" w:ascii="宋体" w:hAnsi="宋体"/>
          <w:sz w:val="24"/>
        </w:rPr>
        <w:t>，即可退出已登录的用户，返回登录主界面。</w:t>
      </w:r>
    </w:p>
    <w:p>
      <w:pPr>
        <w:ind w:firstLine="420" w:firstLineChars="200"/>
        <w:rPr>
          <w:rFonts w:ascii="宋体"/>
        </w:rPr>
      </w:pPr>
    </w:p>
    <w:bookmarkEnd w:id="16"/>
    <w:p>
      <w:pPr>
        <w:pStyle w:val="2"/>
        <w:spacing w:line="240" w:lineRule="auto"/>
        <w:ind w:left="0" w:right="200"/>
      </w:pPr>
      <w:bookmarkStart w:id="21" w:name="_Toc453075089"/>
      <w:r>
        <w:rPr>
          <w:rFonts w:hint="eastAsia"/>
        </w:rPr>
        <w:t>常见问题解答</w:t>
      </w:r>
      <w:bookmarkEnd w:id="21"/>
    </w:p>
    <w:p>
      <w:pPr>
        <w:pStyle w:val="32"/>
        <w:numPr>
          <w:ilvl w:val="0"/>
          <w:numId w:val="3"/>
        </w:numPr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附件上传时无反应，是什么原因？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答：建议将海关事务联系系统设置为“受信任站点”，并将ACTIVE X控件设置设为“启用”，附件即能上传成功。</w:t>
      </w:r>
    </w:p>
    <w:p>
      <w:pPr>
        <w:pStyle w:val="32"/>
        <w:ind w:firstLine="0" w:firstLineChars="0"/>
        <w:jc w:val="center"/>
      </w:pPr>
      <w:r>
        <w:drawing>
          <wp:inline distT="0" distB="0" distL="0" distR="0">
            <wp:extent cx="3975100" cy="4241800"/>
            <wp:effectExtent l="19050" t="0" r="635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firstLine="0" w:firstLineChars="0"/>
        <w:jc w:val="center"/>
      </w:pPr>
      <w:r>
        <w:rPr>
          <w:rFonts w:hint="eastAsia"/>
        </w:rPr>
        <w:t>图3.1</w:t>
      </w:r>
    </w:p>
    <w:p>
      <w:pPr>
        <w:pStyle w:val="32"/>
        <w:ind w:firstLine="0" w:firstLineChars="0"/>
        <w:rPr>
          <w:rFonts w:ascii="宋体" w:hAnsi="宋体"/>
          <w:sz w:val="24"/>
          <w:szCs w:val="24"/>
        </w:rPr>
      </w:pPr>
    </w:p>
    <w:p>
      <w:pPr>
        <w:pStyle w:val="32"/>
        <w:ind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2、为什么一直是成功发往海关状态？</w:t>
      </w:r>
    </w:p>
    <w:p>
      <w:pPr>
        <w:pStyle w:val="32"/>
        <w:ind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答：附件在传输过程中，会有传输失败等情况，请在页面查询到数据后，点查看按钮，在附件上传列表里面关注附件传输状态</w:t>
      </w:r>
    </w:p>
    <w:p>
      <w:pPr>
        <w:pStyle w:val="32"/>
        <w:ind w:firstLine="0" w:firstLineChars="0"/>
      </w:pPr>
    </w:p>
    <w:p>
      <w:pPr>
        <w:pStyle w:val="32"/>
        <w:ind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3、为什么不让传输图片文件？</w:t>
      </w:r>
    </w:p>
    <w:p>
      <w:pPr>
        <w:pStyle w:val="32"/>
        <w:ind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答：目前对上传附件的格式要求为“.PDF”格式，不允许上传其他格式的附件。</w:t>
      </w:r>
    </w:p>
    <w:p>
      <w:pPr>
        <w:pStyle w:val="32"/>
        <w:ind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附件最大支持4M，如果超过4M，建议拆分多个附件分别上传</w:t>
      </w:r>
    </w:p>
    <w:p>
      <w:pPr>
        <w:rPr>
          <w:color w:val="FF0000"/>
        </w:rPr>
      </w:pPr>
    </w:p>
    <w:p/>
    <w:sectPr>
      <w:footerReference r:id="rId5" w:type="first"/>
      <w:footerReference r:id="rId3" w:type="default"/>
      <w:footerReference r:id="rId4" w:type="even"/>
      <w:pgSz w:w="11906" w:h="16838"/>
      <w:pgMar w:top="1440" w:right="1758" w:bottom="1090" w:left="1758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right="42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right="42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right="42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6D29"/>
    <w:multiLevelType w:val="multilevel"/>
    <w:tmpl w:val="0BEE6D2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264A76"/>
    <w:multiLevelType w:val="multilevel"/>
    <w:tmpl w:val="0C264A76"/>
    <w:lvl w:ilvl="0" w:tentative="0">
      <w:start w:val="1"/>
      <w:numFmt w:val="chineseCountingThousand"/>
      <w:pStyle w:val="2"/>
      <w:suff w:val="space"/>
      <w:lvlText w:val="第%1篇"/>
      <w:lvlJc w:val="left"/>
      <w:pPr>
        <w:ind w:left="700" w:firstLine="0"/>
      </w:pPr>
      <w:rPr>
        <w:rFonts w:hint="eastAsia" w:eastAsia="华文中宋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40"/>
        <w:szCs w:val="40"/>
        <w:vertAlign w:val="baseline"/>
      </w:rPr>
    </w:lvl>
    <w:lvl w:ilvl="1" w:tentative="0">
      <w:start w:val="1"/>
      <w:numFmt w:val="taiwaneseCountingThousand"/>
      <w:pStyle w:val="3"/>
      <w:suff w:val="space"/>
      <w:lvlText w:val="第%2章"/>
      <w:lvlJc w:val="left"/>
      <w:pPr>
        <w:ind w:left="0" w:firstLine="0"/>
      </w:pPr>
      <w:rPr>
        <w:rFonts w:hint="eastAsia" w:eastAsia="华文中宋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42"/>
        <w:szCs w:val="42"/>
        <w:vertAlign w:val="baseline"/>
      </w:rPr>
    </w:lvl>
    <w:lvl w:ilvl="2" w:tentative="0">
      <w:start w:val="1"/>
      <w:numFmt w:val="decimal"/>
      <w:pStyle w:val="4"/>
      <w:isLgl/>
      <w:suff w:val="space"/>
      <w:lvlText w:val="%2.%3"/>
      <w:lvlJc w:val="left"/>
      <w:pPr>
        <w:ind w:left="700" w:firstLine="1400"/>
      </w:pPr>
      <w:rPr>
        <w:rFonts w:hint="eastAsia" w:eastAsia="黑体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 w:tentative="0">
      <w:start w:val="1"/>
      <w:numFmt w:val="decimal"/>
      <w:pStyle w:val="5"/>
      <w:isLgl/>
      <w:suff w:val="space"/>
      <w:lvlText w:val="%2.%3.%4"/>
      <w:lvlJc w:val="left"/>
      <w:pPr>
        <w:ind w:left="700" w:firstLine="1400"/>
      </w:pPr>
      <w:rPr>
        <w:rFonts w:hint="eastAsia" w:eastAsia="黑体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4" w:tentative="0">
      <w:start w:val="1"/>
      <w:numFmt w:val="decimal"/>
      <w:pStyle w:val="6"/>
      <w:isLgl/>
      <w:suff w:val="space"/>
      <w:lvlText w:val="%2.%3.%4.%5"/>
      <w:lvlJc w:val="left"/>
      <w:pPr>
        <w:ind w:left="700" w:firstLine="0"/>
      </w:pPr>
      <w:rPr>
        <w:rFonts w:hint="eastAsia" w:eastAsia="黑体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5" w:tentative="0">
      <w:start w:val="1"/>
      <w:numFmt w:val="decimal"/>
      <w:pStyle w:val="7"/>
      <w:isLgl/>
      <w:suff w:val="nothing"/>
      <w:lvlText w:val="%2.%3.%4.%5.%6"/>
      <w:lvlJc w:val="left"/>
      <w:pPr>
        <w:ind w:left="700" w:firstLine="1400"/>
      </w:pPr>
      <w:rPr>
        <w:rFonts w:hint="eastAsia" w:eastAsia="黑体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6" w:tentative="0">
      <w:start w:val="1"/>
      <w:numFmt w:val="decimal"/>
      <w:pStyle w:val="8"/>
      <w:isLgl/>
      <w:suff w:val="nothing"/>
      <w:lvlText w:val="%2.%3.%4.%5.%6.%7"/>
      <w:lvlJc w:val="left"/>
      <w:pPr>
        <w:ind w:left="700" w:firstLine="0"/>
      </w:pPr>
      <w:rPr>
        <w:rFonts w:hint="eastAsia" w:eastAsia="黑体"/>
        <w:b/>
        <w:i w:val="0"/>
        <w:sz w:val="24"/>
        <w:szCs w:val="24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70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700" w:firstLine="0"/>
      </w:pPr>
      <w:rPr>
        <w:rFonts w:hint="eastAsia"/>
      </w:rPr>
    </w:lvl>
  </w:abstractNum>
  <w:abstractNum w:abstractNumId="2">
    <w:nsid w:val="15E17C13"/>
    <w:multiLevelType w:val="multilevel"/>
    <w:tmpl w:val="15E17C1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7479D"/>
    <w:rsid w:val="000330D2"/>
    <w:rsid w:val="001555E9"/>
    <w:rsid w:val="0027479D"/>
    <w:rsid w:val="004B0421"/>
    <w:rsid w:val="00777CCF"/>
    <w:rsid w:val="00C71D14"/>
    <w:rsid w:val="00D809FF"/>
    <w:rsid w:val="00D84326"/>
    <w:rsid w:val="2C91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name="header"/>
    <w:lsdException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pageBreakBefore/>
      <w:widowControl/>
      <w:numPr>
        <w:ilvl w:val="0"/>
        <w:numId w:val="1"/>
      </w:numPr>
      <w:topLinePunct/>
      <w:adjustRightInd w:val="0"/>
      <w:spacing w:before="312" w:after="312" w:line="360" w:lineRule="auto"/>
      <w:outlineLvl w:val="0"/>
    </w:pPr>
    <w:rPr>
      <w:rFonts w:eastAsia="华文中宋"/>
      <w:b/>
      <w:bCs/>
      <w:spacing w:val="24"/>
      <w:kern w:val="0"/>
      <w:sz w:val="46"/>
      <w:szCs w:val="46"/>
      <w:shd w:val="pct10" w:color="auto" w:fill="FFFFFF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widowControl/>
      <w:numPr>
        <w:ilvl w:val="1"/>
        <w:numId w:val="1"/>
      </w:numPr>
      <w:topLinePunct/>
      <w:spacing w:before="600" w:after="260" w:line="360" w:lineRule="auto"/>
      <w:outlineLvl w:val="1"/>
    </w:pPr>
    <w:rPr>
      <w:rFonts w:ascii="Arial" w:hAnsi="Arial" w:eastAsia="华文中宋"/>
      <w:b/>
      <w:bCs/>
      <w:sz w:val="40"/>
      <w:szCs w:val="42"/>
    </w:rPr>
  </w:style>
  <w:style w:type="paragraph" w:styleId="4">
    <w:name w:val="heading 3"/>
    <w:basedOn w:val="1"/>
    <w:next w:val="1"/>
    <w:link w:val="23"/>
    <w:qFormat/>
    <w:uiPriority w:val="0"/>
    <w:pPr>
      <w:keepNext/>
      <w:keepLines/>
      <w:widowControl/>
      <w:numPr>
        <w:ilvl w:val="2"/>
        <w:numId w:val="1"/>
      </w:numPr>
      <w:topLinePunct/>
      <w:adjustRightInd w:val="0"/>
      <w:spacing w:before="312" w:after="312" w:line="360" w:lineRule="auto"/>
      <w:ind w:left="0" w:firstLine="0"/>
      <w:jc w:val="left"/>
      <w:outlineLvl w:val="2"/>
    </w:pPr>
    <w:rPr>
      <w:rFonts w:eastAsia="黑体"/>
      <w:b/>
      <w:bCs/>
      <w:sz w:val="24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widowControl/>
      <w:numPr>
        <w:ilvl w:val="3"/>
        <w:numId w:val="1"/>
      </w:numPr>
      <w:topLinePunct/>
      <w:spacing w:before="280" w:after="290" w:line="360" w:lineRule="auto"/>
      <w:outlineLvl w:val="3"/>
    </w:pPr>
    <w:rPr>
      <w:rFonts w:eastAsia="黑体"/>
      <w:b/>
      <w:bCs/>
      <w:sz w:val="24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widowControl/>
      <w:numPr>
        <w:ilvl w:val="4"/>
        <w:numId w:val="1"/>
      </w:numPr>
      <w:topLinePunct/>
      <w:spacing w:before="280" w:after="290" w:line="377" w:lineRule="auto"/>
      <w:ind w:right="400" w:rightChars="200"/>
      <w:outlineLvl w:val="4"/>
    </w:pPr>
    <w:rPr>
      <w:rFonts w:eastAsia="黑体"/>
      <w:b/>
      <w:bCs/>
      <w:sz w:val="24"/>
    </w:rPr>
  </w:style>
  <w:style w:type="paragraph" w:styleId="7">
    <w:name w:val="heading 6"/>
    <w:basedOn w:val="1"/>
    <w:next w:val="1"/>
    <w:link w:val="26"/>
    <w:qFormat/>
    <w:uiPriority w:val="0"/>
    <w:pPr>
      <w:keepNext/>
      <w:keepLines/>
      <w:widowControl/>
      <w:numPr>
        <w:ilvl w:val="5"/>
        <w:numId w:val="1"/>
      </w:numPr>
      <w:topLinePunct/>
      <w:spacing w:before="240" w:after="64" w:line="264" w:lineRule="auto"/>
      <w:ind w:right="200" w:rightChars="200"/>
      <w:outlineLvl w:val="5"/>
    </w:pPr>
    <w:rPr>
      <w:rFonts w:eastAsia="黑体"/>
      <w:b/>
      <w:bCs/>
      <w:sz w:val="24"/>
    </w:rPr>
  </w:style>
  <w:style w:type="paragraph" w:styleId="8">
    <w:name w:val="heading 7"/>
    <w:basedOn w:val="1"/>
    <w:next w:val="1"/>
    <w:link w:val="27"/>
    <w:qFormat/>
    <w:uiPriority w:val="0"/>
    <w:pPr>
      <w:keepNext/>
      <w:keepLines/>
      <w:widowControl/>
      <w:numPr>
        <w:ilvl w:val="6"/>
        <w:numId w:val="1"/>
      </w:numPr>
      <w:topLinePunct/>
      <w:spacing w:before="240" w:after="64" w:line="319" w:lineRule="auto"/>
      <w:ind w:right="400" w:rightChars="200"/>
      <w:outlineLvl w:val="6"/>
    </w:pPr>
    <w:rPr>
      <w:rFonts w:eastAsia="黑体"/>
      <w:b/>
      <w:bCs/>
      <w:sz w:val="24"/>
    </w:rPr>
  </w:style>
  <w:style w:type="paragraph" w:styleId="9">
    <w:name w:val="heading 8"/>
    <w:basedOn w:val="1"/>
    <w:next w:val="1"/>
    <w:link w:val="28"/>
    <w:qFormat/>
    <w:uiPriority w:val="0"/>
    <w:pPr>
      <w:keepNext/>
      <w:keepLines/>
      <w:widowControl/>
      <w:numPr>
        <w:ilvl w:val="7"/>
        <w:numId w:val="1"/>
      </w:numPr>
      <w:topLinePunct/>
      <w:spacing w:before="240" w:after="64" w:line="319" w:lineRule="auto"/>
      <w:ind w:left="0" w:right="200" w:rightChars="200"/>
      <w:outlineLvl w:val="7"/>
    </w:pPr>
    <w:rPr>
      <w:rFonts w:ascii="Arial" w:hAnsi="Arial" w:eastAsia="黑体"/>
      <w:sz w:val="24"/>
      <w:szCs w:val="20"/>
    </w:rPr>
  </w:style>
  <w:style w:type="paragraph" w:styleId="10">
    <w:name w:val="heading 9"/>
    <w:basedOn w:val="1"/>
    <w:next w:val="1"/>
    <w:link w:val="29"/>
    <w:qFormat/>
    <w:uiPriority w:val="0"/>
    <w:pPr>
      <w:keepNext/>
      <w:keepLines/>
      <w:widowControl/>
      <w:numPr>
        <w:ilvl w:val="8"/>
        <w:numId w:val="1"/>
      </w:numPr>
      <w:topLinePunct/>
      <w:spacing w:before="240" w:after="64" w:line="320" w:lineRule="auto"/>
      <w:ind w:right="400" w:rightChars="200"/>
      <w:outlineLvl w:val="8"/>
    </w:pPr>
    <w:rPr>
      <w:rFonts w:ascii="Arial" w:hAnsi="Arial" w:eastAsia="黑体"/>
      <w:sz w:val="20"/>
      <w:szCs w:val="21"/>
    </w:rPr>
  </w:style>
  <w:style w:type="character" w:default="1" w:styleId="18">
    <w:name w:val="Default Paragraph Font"/>
    <w:unhideWhenUsed/>
    <w:qFormat/>
    <w:uiPriority w:val="1"/>
  </w:style>
  <w:style w:type="table" w:default="1" w:styleId="2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tabs>
        <w:tab w:val="left" w:pos="1080"/>
        <w:tab w:val="left" w:pos="7080"/>
      </w:tabs>
      <w:spacing w:line="360" w:lineRule="auto"/>
      <w:ind w:firstLine="454"/>
    </w:pPr>
    <w:rPr>
      <w:szCs w:val="20"/>
    </w:rPr>
  </w:style>
  <w:style w:type="paragraph" w:styleId="12">
    <w:name w:val="caption"/>
    <w:basedOn w:val="1"/>
    <w:next w:val="1"/>
    <w:qFormat/>
    <w:uiPriority w:val="0"/>
    <w:pPr>
      <w:widowControl/>
      <w:topLinePunct/>
      <w:spacing w:before="152" w:after="160" w:line="264" w:lineRule="auto"/>
      <w:ind w:left="1701" w:right="400" w:rightChars="200" w:firstLine="400" w:firstLineChars="200"/>
    </w:pPr>
    <w:rPr>
      <w:rFonts w:ascii="Arial" w:hAnsi="Arial" w:eastAsia="黑体" w:cs="Arial"/>
      <w:sz w:val="20"/>
      <w:szCs w:val="20"/>
    </w:rPr>
  </w:style>
  <w:style w:type="paragraph" w:styleId="13">
    <w:name w:val="Document Map"/>
    <w:basedOn w:val="1"/>
    <w:link w:val="33"/>
    <w:unhideWhenUsed/>
    <w:uiPriority w:val="99"/>
    <w:rPr>
      <w:rFonts w:ascii="宋体"/>
      <w:sz w:val="18"/>
      <w:szCs w:val="18"/>
    </w:rPr>
  </w:style>
  <w:style w:type="paragraph" w:styleId="14">
    <w:name w:val="toc 3"/>
    <w:basedOn w:val="1"/>
    <w:next w:val="1"/>
    <w:uiPriority w:val="39"/>
    <w:pPr>
      <w:widowControl/>
      <w:tabs>
        <w:tab w:val="right" w:leader="dot" w:pos="9062"/>
      </w:tabs>
      <w:topLinePunct/>
      <w:ind w:left="840" w:leftChars="400" w:right="420" w:rightChars="200"/>
    </w:pPr>
    <w:rPr>
      <w:rFonts w:eastAsia="黑体"/>
      <w:sz w:val="20"/>
      <w:szCs w:val="20"/>
    </w:rPr>
  </w:style>
  <w:style w:type="paragraph" w:styleId="15">
    <w:name w:val="footer"/>
    <w:basedOn w:val="1"/>
    <w:link w:val="31"/>
    <w:uiPriority w:val="99"/>
    <w:pPr>
      <w:widowControl/>
      <w:tabs>
        <w:tab w:val="center" w:pos="4153"/>
        <w:tab w:val="right" w:pos="8306"/>
      </w:tabs>
      <w:topLinePunct/>
      <w:snapToGrid w:val="0"/>
      <w:spacing w:after="567" w:line="264" w:lineRule="auto"/>
      <w:ind w:left="1701" w:right="794" w:rightChars="200" w:firstLine="400" w:firstLineChars="200"/>
      <w:jc w:val="right"/>
    </w:pPr>
    <w:rPr>
      <w:rFonts w:eastAsia="华文中宋"/>
      <w:sz w:val="18"/>
      <w:szCs w:val="18"/>
    </w:rPr>
  </w:style>
  <w:style w:type="paragraph" w:styleId="16">
    <w:name w:val="toc 1"/>
    <w:basedOn w:val="1"/>
    <w:next w:val="1"/>
    <w:qFormat/>
    <w:uiPriority w:val="39"/>
    <w:pPr>
      <w:widowControl/>
      <w:topLinePunct/>
      <w:spacing w:beforeLines="100" w:afterLines="100" w:line="240" w:lineRule="atLeast"/>
    </w:pPr>
    <w:rPr>
      <w:rFonts w:eastAsia="黑体"/>
      <w:b/>
      <w:szCs w:val="21"/>
    </w:rPr>
  </w:style>
  <w:style w:type="paragraph" w:styleId="17">
    <w:name w:val="toc 2"/>
    <w:basedOn w:val="1"/>
    <w:next w:val="1"/>
    <w:qFormat/>
    <w:uiPriority w:val="39"/>
    <w:pPr>
      <w:widowControl/>
      <w:tabs>
        <w:tab w:val="right" w:leader="dot" w:pos="9062"/>
      </w:tabs>
      <w:topLinePunct/>
      <w:ind w:left="200" w:leftChars="200"/>
    </w:pPr>
    <w:rPr>
      <w:rFonts w:eastAsia="黑体"/>
      <w:b/>
    </w:rPr>
  </w:style>
  <w:style w:type="character" w:styleId="19">
    <w:name w:val="Hyperlink"/>
    <w:qFormat/>
    <w:uiPriority w:val="99"/>
    <w:rPr>
      <w:color w:val="0000FF"/>
      <w:u w:val="single"/>
    </w:rPr>
  </w:style>
  <w:style w:type="character" w:customStyle="1" w:styleId="21">
    <w:name w:val="标题 1 Char"/>
    <w:basedOn w:val="18"/>
    <w:link w:val="2"/>
    <w:qFormat/>
    <w:uiPriority w:val="0"/>
    <w:rPr>
      <w:rFonts w:ascii="Times New Roman" w:hAnsi="Times New Roman" w:eastAsia="华文中宋" w:cs="Times New Roman"/>
      <w:b/>
      <w:bCs/>
      <w:spacing w:val="24"/>
      <w:kern w:val="0"/>
      <w:sz w:val="46"/>
      <w:szCs w:val="46"/>
    </w:rPr>
  </w:style>
  <w:style w:type="character" w:customStyle="1" w:styleId="22">
    <w:name w:val="标题 2 Char"/>
    <w:basedOn w:val="18"/>
    <w:link w:val="3"/>
    <w:qFormat/>
    <w:uiPriority w:val="0"/>
    <w:rPr>
      <w:rFonts w:ascii="Arial" w:hAnsi="Arial" w:eastAsia="华文中宋" w:cs="Times New Roman"/>
      <w:b/>
      <w:bCs/>
      <w:sz w:val="40"/>
      <w:szCs w:val="42"/>
    </w:rPr>
  </w:style>
  <w:style w:type="character" w:customStyle="1" w:styleId="23">
    <w:name w:val="标题 3 Char"/>
    <w:basedOn w:val="18"/>
    <w:link w:val="4"/>
    <w:uiPriority w:val="0"/>
    <w:rPr>
      <w:rFonts w:ascii="Times New Roman" w:hAnsi="Times New Roman" w:eastAsia="黑体" w:cs="Times New Roman"/>
      <w:b/>
      <w:bCs/>
      <w:sz w:val="24"/>
      <w:szCs w:val="24"/>
    </w:rPr>
  </w:style>
  <w:style w:type="character" w:customStyle="1" w:styleId="24">
    <w:name w:val="标题 4 Char"/>
    <w:basedOn w:val="18"/>
    <w:link w:val="5"/>
    <w:uiPriority w:val="0"/>
    <w:rPr>
      <w:rFonts w:ascii="Times New Roman" w:hAnsi="Times New Roman" w:eastAsia="黑体" w:cs="Times New Roman"/>
      <w:b/>
      <w:bCs/>
      <w:sz w:val="24"/>
      <w:szCs w:val="24"/>
    </w:rPr>
  </w:style>
  <w:style w:type="character" w:customStyle="1" w:styleId="25">
    <w:name w:val="标题 5 Char"/>
    <w:basedOn w:val="18"/>
    <w:link w:val="6"/>
    <w:qFormat/>
    <w:uiPriority w:val="0"/>
    <w:rPr>
      <w:rFonts w:ascii="Times New Roman" w:hAnsi="Times New Roman" w:eastAsia="黑体" w:cs="Times New Roman"/>
      <w:b/>
      <w:bCs/>
      <w:sz w:val="24"/>
      <w:szCs w:val="24"/>
    </w:rPr>
  </w:style>
  <w:style w:type="character" w:customStyle="1" w:styleId="26">
    <w:name w:val="标题 6 Char"/>
    <w:basedOn w:val="18"/>
    <w:link w:val="7"/>
    <w:uiPriority w:val="0"/>
    <w:rPr>
      <w:rFonts w:ascii="Times New Roman" w:hAnsi="Times New Roman" w:eastAsia="黑体" w:cs="Times New Roman"/>
      <w:b/>
      <w:bCs/>
      <w:sz w:val="24"/>
      <w:szCs w:val="24"/>
    </w:rPr>
  </w:style>
  <w:style w:type="character" w:customStyle="1" w:styleId="27">
    <w:name w:val="标题 7 Char"/>
    <w:basedOn w:val="18"/>
    <w:link w:val="8"/>
    <w:qFormat/>
    <w:uiPriority w:val="0"/>
    <w:rPr>
      <w:rFonts w:ascii="Times New Roman" w:hAnsi="Times New Roman" w:eastAsia="黑体" w:cs="Times New Roman"/>
      <w:b/>
      <w:bCs/>
      <w:sz w:val="24"/>
      <w:szCs w:val="24"/>
    </w:rPr>
  </w:style>
  <w:style w:type="character" w:customStyle="1" w:styleId="28">
    <w:name w:val="标题 8 Char"/>
    <w:basedOn w:val="18"/>
    <w:link w:val="9"/>
    <w:qFormat/>
    <w:uiPriority w:val="0"/>
    <w:rPr>
      <w:rFonts w:ascii="Arial" w:hAnsi="Arial" w:eastAsia="黑体" w:cs="Times New Roman"/>
      <w:sz w:val="24"/>
      <w:szCs w:val="20"/>
    </w:rPr>
  </w:style>
  <w:style w:type="character" w:customStyle="1" w:styleId="29">
    <w:name w:val="标题 9 Char"/>
    <w:basedOn w:val="18"/>
    <w:link w:val="10"/>
    <w:qFormat/>
    <w:uiPriority w:val="0"/>
    <w:rPr>
      <w:rFonts w:ascii="Arial" w:hAnsi="Arial" w:eastAsia="黑体" w:cs="Times New Roman"/>
      <w:sz w:val="20"/>
      <w:szCs w:val="21"/>
    </w:rPr>
  </w:style>
  <w:style w:type="paragraph" w:customStyle="1" w:styleId="30">
    <w:name w:val="样式 标题 2 + 段前: 15.6 磅 段后: 15.6 磅"/>
    <w:basedOn w:val="3"/>
    <w:qFormat/>
    <w:uiPriority w:val="0"/>
    <w:pPr>
      <w:spacing w:before="312" w:after="312"/>
    </w:pPr>
    <w:rPr>
      <w:szCs w:val="20"/>
    </w:rPr>
  </w:style>
  <w:style w:type="character" w:customStyle="1" w:styleId="31">
    <w:name w:val="页脚 Char"/>
    <w:basedOn w:val="18"/>
    <w:link w:val="15"/>
    <w:uiPriority w:val="99"/>
    <w:rPr>
      <w:rFonts w:ascii="Times New Roman" w:hAnsi="Times New Roman" w:eastAsia="华文中宋" w:cs="Times New Roman"/>
      <w:sz w:val="18"/>
      <w:szCs w:val="18"/>
    </w:rPr>
  </w:style>
  <w:style w:type="paragraph" w:customStyle="1" w:styleId="32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33">
    <w:name w:val="文档结构图 Char"/>
    <w:basedOn w:val="18"/>
    <w:link w:val="13"/>
    <w:semiHidden/>
    <w:uiPriority w:val="99"/>
    <w:rPr>
      <w:rFonts w:ascii="宋体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26</Pages>
  <Words>823</Words>
  <Characters>4694</Characters>
  <Lines>39</Lines>
  <Paragraphs>11</Paragraphs>
  <TotalTime>0</TotalTime>
  <ScaleCrop>false</ScaleCrop>
  <LinksUpToDate>false</LinksUpToDate>
  <CharactersWithSpaces>5506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2016-11-22T06:27:00Z</dcterms:created>
  <dc:creator>User</dc:creator>
  <cp:lastModifiedBy>zhanglan</cp:lastModifiedBy>
  <dcterms:modified xsi:type="dcterms:W3CDTF">2017-09-08T03:36:49Z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